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207E" w14:textId="1DB2DC95" w:rsidR="00975A4B" w:rsidRPr="00940405" w:rsidRDefault="00975A4B">
      <w:pPr>
        <w:rPr>
          <w:rFonts w:ascii="Arial" w:hAnsi="Arial" w:cs="Arial"/>
          <w:sz w:val="32"/>
          <w:szCs w:val="32"/>
        </w:rPr>
      </w:pPr>
    </w:p>
    <w:p w14:paraId="2F50199E" w14:textId="0395676F" w:rsidR="0010083A" w:rsidRPr="0017667F" w:rsidRDefault="00133134" w:rsidP="0010083A">
      <w:pPr>
        <w:rPr>
          <w:rFonts w:ascii="Arial" w:hAnsi="Arial" w:cs="Arial"/>
          <w:color w:val="525556"/>
          <w:sz w:val="24"/>
          <w:szCs w:val="32"/>
        </w:rPr>
      </w:pPr>
      <w:bookmarkStart w:id="0" w:name="_Hlk156396211"/>
      <w:r>
        <w:rPr>
          <w:rFonts w:ascii="Arial" w:hAnsi="Arial" w:cs="Arial"/>
          <w:color w:val="525556"/>
          <w:sz w:val="52"/>
          <w:szCs w:val="32"/>
        </w:rPr>
        <w:t xml:space="preserve">Press </w:t>
      </w:r>
      <w:proofErr w:type="spellStart"/>
      <w:r>
        <w:rPr>
          <w:rFonts w:ascii="Arial" w:hAnsi="Arial" w:cs="Arial"/>
          <w:color w:val="525556"/>
          <w:sz w:val="52"/>
          <w:szCs w:val="32"/>
        </w:rPr>
        <w:t>release</w:t>
      </w:r>
      <w:proofErr w:type="spellEnd"/>
      <w:r w:rsidR="0010083A" w:rsidRPr="0045106A">
        <w:rPr>
          <w:rFonts w:ascii="Arial" w:hAnsi="Arial" w:cs="Arial"/>
          <w:color w:val="525556"/>
          <w:sz w:val="48"/>
          <w:szCs w:val="28"/>
        </w:rPr>
        <w:br/>
      </w:r>
      <w:r w:rsidR="00391C95">
        <w:rPr>
          <w:rFonts w:ascii="Arial" w:hAnsi="Arial" w:cs="Arial"/>
          <w:color w:val="525556"/>
          <w:sz w:val="24"/>
          <w:szCs w:val="32"/>
        </w:rPr>
        <w:t>2</w:t>
      </w:r>
      <w:r w:rsidR="00046AA4">
        <w:rPr>
          <w:rFonts w:ascii="Arial" w:hAnsi="Arial" w:cs="Arial"/>
          <w:color w:val="525556"/>
          <w:sz w:val="24"/>
          <w:szCs w:val="32"/>
        </w:rPr>
        <w:t>3</w:t>
      </w:r>
      <w:r>
        <w:rPr>
          <w:rFonts w:ascii="Arial" w:hAnsi="Arial" w:cs="Arial"/>
          <w:color w:val="525556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color w:val="525556"/>
          <w:sz w:val="24"/>
          <w:szCs w:val="32"/>
        </w:rPr>
        <w:t>January</w:t>
      </w:r>
      <w:proofErr w:type="spellEnd"/>
      <w:r w:rsidR="0010083A" w:rsidRPr="0017667F">
        <w:rPr>
          <w:rFonts w:ascii="Arial" w:hAnsi="Arial" w:cs="Arial"/>
          <w:color w:val="525556"/>
          <w:sz w:val="24"/>
          <w:szCs w:val="32"/>
        </w:rPr>
        <w:t xml:space="preserve"> 2024</w:t>
      </w:r>
      <w:r w:rsidR="0010083A" w:rsidRPr="0017667F">
        <w:rPr>
          <w:rFonts w:ascii="Arial" w:hAnsi="Arial" w:cs="Arial"/>
          <w:color w:val="525556"/>
          <w:sz w:val="24"/>
          <w:szCs w:val="32"/>
        </w:rPr>
        <w:tab/>
      </w:r>
    </w:p>
    <w:p w14:paraId="2EF38336" w14:textId="566B9DD9" w:rsidR="0010083A" w:rsidRDefault="0010083A" w:rsidP="0010083A">
      <w:pPr>
        <w:rPr>
          <w:rFonts w:ascii="Arial" w:hAnsi="Arial" w:cs="Arial"/>
          <w:szCs w:val="24"/>
        </w:rPr>
      </w:pPr>
    </w:p>
    <w:p w14:paraId="315A6A68" w14:textId="025F1022" w:rsidR="0010083A" w:rsidRPr="00614A4A" w:rsidRDefault="00614A4A" w:rsidP="00614A4A">
      <w:pPr>
        <w:rPr>
          <w:rFonts w:ascii="Arial" w:hAnsi="Arial" w:cs="Arial"/>
          <w:b/>
          <w:bCs/>
          <w:color w:val="525556"/>
          <w:sz w:val="20"/>
          <w:szCs w:val="20"/>
        </w:rPr>
      </w:pPr>
      <w:r>
        <w:rPr>
          <w:rFonts w:ascii="Arial" w:hAnsi="Arial" w:cs="Arial"/>
          <w:b/>
          <w:bCs/>
          <w:noProof/>
          <w:color w:val="525556"/>
          <w:sz w:val="20"/>
          <w:szCs w:val="20"/>
          <w:lang w:eastAsia="de-A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FFC6" wp14:editId="24CC0210">
                <wp:simplePos x="0" y="0"/>
                <wp:positionH relativeFrom="column">
                  <wp:posOffset>-11430</wp:posOffset>
                </wp:positionH>
                <wp:positionV relativeFrom="paragraph">
                  <wp:posOffset>1217295</wp:posOffset>
                </wp:positionV>
                <wp:extent cx="1104900" cy="0"/>
                <wp:effectExtent l="0" t="0" r="0" b="0"/>
                <wp:wrapNone/>
                <wp:docPr id="285790660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513E3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5.85pt" to="86.1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LNxAEAAPgDAAAOAAAAZHJzL2Uyb0RvYy54bWysU8tu2zAQvBfoPxC815KCNEgFyzkkSC9N&#10;GvTxATS1tAiQXIJkLPnvu6RsOWgDFC1yoURyZ2ZntFrfTNawPYSo0XW8WdWcgZPYa7fr+M8f9x+u&#10;OYtJuF4YdNDxA0R+s3n/bj36Fi5wQNNDYETiYjv6jg8p+baqohzAirhCD44uFQYrEm3DruqDGInd&#10;muqirq+qEUPvA0qIkU7v5ku+KfxKgUxflYqQmOk49ZbKGsq6zWu1WYt2F4QftDy2If6jCyu0I9GF&#10;6k4kwZ6D/oPKahkwokoribZCpbSE4oHcNPVvbr4PwkPxQuFEv8QU345WPu5v3VOgGEYf2+ifQnYx&#10;qWDzk/pjUwnrsIQFU2KSDpumvvxUU6bydFedgT7E9BnQsvzScaNd9iFasf8SE4lR6akkHxuX14hG&#10;9/famLLJEwC3JrC9oG+33TWFwDzbB+zns+uPNenPbGVgcnnhfsFESpm9Otsrb+lgYFb+BorpPhsq&#10;AgvRrCGkBJeao4pxVJ1hirpcgPXfgcf6DIUylf8CXhBFGV1awFY7DK+pp+nUsprrTwnMvnMEW+wP&#10;5cOXaGi8SnLHXyHP78t9gZ9/2M0vAAAA//8DAFBLAwQUAAYACAAAACEAGx43stsAAAAKAQAADwAA&#10;AGRycy9kb3ducmV2LnhtbEyPPU/DMBCGdyT+g3WV2Fo7GSiEOFVVRAemEhgYr/ERR43PUey2Kb8e&#10;V0KC8f3Qe8+Vq8n14kRj6DxryBYKBHHjTcetho/3l/kDiBCRDfaeScOFAqyq25sSC+PP/EanOrYi&#10;jXAoUIONcSikDI0lh2HhB+KUffnRYUxybKUZ8ZzGXS9zpe6lw47TBYsDbSw1h/roNKhpp/i1tvx8&#10;Mbj7/N5s5cFttb6bTesnEJGm+FeGK35Chyox7f2RTRC9hnmWyGPyH7MliGthmecg9r+OrEr5/4Xq&#10;BwAA//8DAFBLAQItABQABgAIAAAAIQC2gziS/gAAAOEBAAATAAAAAAAAAAAAAAAAAAAAAABbQ29u&#10;dGVudF9UeXBlc10ueG1sUEsBAi0AFAAGAAgAAAAhADj9If/WAAAAlAEAAAsAAAAAAAAAAAAAAAAA&#10;LwEAAF9yZWxzLy5yZWxzUEsBAi0AFAAGAAgAAAAhAKBkMs3EAQAA+AMAAA4AAAAAAAAAAAAAAAAA&#10;LgIAAGRycy9lMm9Eb2MueG1sUEsBAi0AFAAGAAgAAAAhABseN7LbAAAACgEAAA8AAAAAAAAAAAAA&#10;AAAAHgQAAGRycy9kb3ducmV2LnhtbFBLBQYAAAAABAAEAPMAAAAmBQAAAAA=&#10;" strokecolor="#d8d8d8 [2732]"/>
            </w:pict>
          </mc:Fallback>
        </mc:AlternateContent>
      </w:r>
      <w:r w:rsidRPr="00071E3B">
        <w:rPr>
          <w:rFonts w:ascii="Arial" w:hAnsi="Arial" w:cs="Arial"/>
          <w:b/>
          <w:bCs/>
          <w:color w:val="525556"/>
          <w:sz w:val="20"/>
          <w:szCs w:val="20"/>
        </w:rPr>
        <w:t>RegioData Research GmbH</w:t>
      </w:r>
      <w:r w:rsidRPr="00071E3B">
        <w:rPr>
          <w:rFonts w:ascii="Arial" w:hAnsi="Arial" w:cs="Arial"/>
          <w:b/>
          <w:bCs/>
          <w:color w:val="525556"/>
          <w:sz w:val="20"/>
          <w:szCs w:val="20"/>
        </w:rPr>
        <w:br/>
        <w:t>Amela Salihovic, M.A.</w:t>
      </w:r>
      <w:r w:rsidRPr="00071E3B">
        <w:rPr>
          <w:rFonts w:ascii="Arial" w:hAnsi="Arial" w:cs="Arial"/>
          <w:b/>
          <w:bCs/>
          <w:color w:val="525556"/>
          <w:sz w:val="20"/>
          <w:szCs w:val="20"/>
        </w:rPr>
        <w:br/>
      </w:r>
      <w:r w:rsidRPr="00071E3B">
        <w:rPr>
          <w:rFonts w:ascii="Arial" w:hAnsi="Arial" w:cs="Arial"/>
          <w:color w:val="525556"/>
          <w:sz w:val="20"/>
          <w:szCs w:val="20"/>
        </w:rPr>
        <w:br/>
      </w:r>
      <w:proofErr w:type="spellStart"/>
      <w:r w:rsidRPr="00071E3B">
        <w:rPr>
          <w:rFonts w:ascii="Arial" w:hAnsi="Arial" w:cs="Arial"/>
          <w:color w:val="525556"/>
          <w:sz w:val="20"/>
          <w:szCs w:val="20"/>
        </w:rPr>
        <w:t>Theobaldgasse</w:t>
      </w:r>
      <w:proofErr w:type="spellEnd"/>
      <w:r w:rsidRPr="00071E3B">
        <w:rPr>
          <w:rFonts w:ascii="Arial" w:hAnsi="Arial" w:cs="Arial"/>
          <w:color w:val="525556"/>
          <w:sz w:val="20"/>
          <w:szCs w:val="20"/>
        </w:rPr>
        <w:t xml:space="preserve"> 8 | 1060 </w:t>
      </w:r>
      <w:r w:rsidR="00133134">
        <w:rPr>
          <w:rFonts w:ascii="Arial" w:hAnsi="Arial" w:cs="Arial"/>
          <w:color w:val="525556"/>
          <w:sz w:val="20"/>
          <w:szCs w:val="20"/>
        </w:rPr>
        <w:t>Vienna</w:t>
      </w:r>
      <w:r w:rsidRPr="00071E3B">
        <w:rPr>
          <w:rFonts w:ascii="Arial" w:hAnsi="Arial" w:cs="Arial"/>
          <w:color w:val="525556"/>
          <w:sz w:val="20"/>
          <w:szCs w:val="20"/>
        </w:rPr>
        <w:br/>
        <w:t>+43 1 585 76 27-50</w:t>
      </w:r>
      <w:r w:rsidRPr="00071E3B">
        <w:rPr>
          <w:rFonts w:ascii="Arial" w:hAnsi="Arial" w:cs="Arial"/>
          <w:color w:val="525556"/>
          <w:sz w:val="20"/>
          <w:szCs w:val="20"/>
        </w:rPr>
        <w:br/>
      </w:r>
      <w:hyperlink r:id="rId9" w:history="1">
        <w:r w:rsidRPr="00071E3B">
          <w:rPr>
            <w:rFonts w:ascii="Arial" w:hAnsi="Arial" w:cs="Arial"/>
            <w:color w:val="525556"/>
            <w:sz w:val="20"/>
            <w:szCs w:val="20"/>
          </w:rPr>
          <w:t>a.salihovic@regiodata.eu</w:t>
        </w:r>
      </w:hyperlink>
      <w:r w:rsidRPr="00071E3B">
        <w:rPr>
          <w:rFonts w:ascii="Arial" w:hAnsi="Arial" w:cs="Arial"/>
          <w:color w:val="525556"/>
          <w:sz w:val="20"/>
          <w:szCs w:val="20"/>
        </w:rPr>
        <w:br/>
        <w:t>www.regiodata.eu</w:t>
      </w:r>
    </w:p>
    <w:p w14:paraId="74B0DA77" w14:textId="77777777" w:rsidR="0010083A" w:rsidRDefault="0010083A" w:rsidP="0010083A">
      <w:pPr>
        <w:rPr>
          <w:rFonts w:ascii="Arial" w:hAnsi="Arial" w:cs="Arial"/>
          <w:b/>
          <w:sz w:val="24"/>
          <w:szCs w:val="24"/>
        </w:rPr>
      </w:pPr>
    </w:p>
    <w:p w14:paraId="5E5D86B4" w14:textId="77777777" w:rsidR="00133134" w:rsidRDefault="00133134" w:rsidP="0010083A">
      <w:pPr>
        <w:rPr>
          <w:rFonts w:ascii="Arial" w:hAnsi="Arial" w:cs="Arial"/>
          <w:b/>
          <w:sz w:val="24"/>
          <w:szCs w:val="24"/>
        </w:rPr>
      </w:pPr>
      <w:proofErr w:type="spellStart"/>
      <w:r w:rsidRPr="00133134">
        <w:rPr>
          <w:rFonts w:ascii="Arial" w:hAnsi="Arial" w:cs="Arial"/>
          <w:b/>
          <w:sz w:val="24"/>
          <w:szCs w:val="24"/>
        </w:rPr>
        <w:t>Purchasing</w:t>
      </w:r>
      <w:proofErr w:type="spellEnd"/>
      <w:r w:rsidRPr="00133134">
        <w:rPr>
          <w:rFonts w:ascii="Arial" w:hAnsi="Arial" w:cs="Arial"/>
          <w:b/>
          <w:sz w:val="24"/>
          <w:szCs w:val="24"/>
        </w:rPr>
        <w:t xml:space="preserve"> power in Europe: Regional </w:t>
      </w:r>
      <w:proofErr w:type="spellStart"/>
      <w:r w:rsidRPr="00133134">
        <w:rPr>
          <w:rFonts w:ascii="Arial" w:hAnsi="Arial" w:cs="Arial"/>
          <w:b/>
          <w:sz w:val="24"/>
          <w:szCs w:val="24"/>
        </w:rPr>
        <w:t>inequalities</w:t>
      </w:r>
      <w:proofErr w:type="spellEnd"/>
      <w:r w:rsidRPr="001331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3134">
        <w:rPr>
          <w:rFonts w:ascii="Arial" w:hAnsi="Arial" w:cs="Arial"/>
          <w:b/>
          <w:sz w:val="24"/>
          <w:szCs w:val="24"/>
        </w:rPr>
        <w:t>are</w:t>
      </w:r>
      <w:proofErr w:type="spellEnd"/>
      <w:r w:rsidRPr="001331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3134">
        <w:rPr>
          <w:rFonts w:ascii="Arial" w:hAnsi="Arial" w:cs="Arial"/>
          <w:b/>
          <w:sz w:val="24"/>
          <w:szCs w:val="24"/>
        </w:rPr>
        <w:t>increasing</w:t>
      </w:r>
      <w:proofErr w:type="spellEnd"/>
      <w:r w:rsidRPr="00133134">
        <w:rPr>
          <w:rFonts w:ascii="Arial" w:hAnsi="Arial" w:cs="Arial"/>
          <w:b/>
          <w:sz w:val="24"/>
          <w:szCs w:val="24"/>
        </w:rPr>
        <w:t>.</w:t>
      </w:r>
    </w:p>
    <w:p w14:paraId="1C4DCBC9" w14:textId="77777777" w:rsidR="00133134" w:rsidRPr="00133134" w:rsidRDefault="00133134" w:rsidP="00133134">
      <w:pPr>
        <w:spacing w:after="100" w:line="240" w:lineRule="auto"/>
        <w:jc w:val="both"/>
        <w:rPr>
          <w:rFonts w:ascii="Arial" w:hAnsi="Arial" w:cs="Arial"/>
          <w:b/>
        </w:rPr>
      </w:pPr>
      <w:r w:rsidRPr="00133134">
        <w:rPr>
          <w:rFonts w:ascii="Arial" w:hAnsi="Arial" w:cs="Arial"/>
          <w:b/>
        </w:rPr>
        <w:t xml:space="preserve">Vienna, 23.01.2024 – The </w:t>
      </w:r>
      <w:proofErr w:type="spellStart"/>
      <w:r w:rsidRPr="00133134">
        <w:rPr>
          <w:rFonts w:ascii="Arial" w:hAnsi="Arial" w:cs="Arial"/>
          <w:b/>
        </w:rPr>
        <w:t>current</w:t>
      </w:r>
      <w:proofErr w:type="spellEnd"/>
      <w:r w:rsidRPr="00133134">
        <w:rPr>
          <w:rFonts w:ascii="Arial" w:hAnsi="Arial" w:cs="Arial"/>
          <w:b/>
        </w:rPr>
        <w:t xml:space="preserve"> RegioData Research </w:t>
      </w:r>
      <w:proofErr w:type="spellStart"/>
      <w:r w:rsidRPr="00133134">
        <w:rPr>
          <w:rFonts w:ascii="Arial" w:hAnsi="Arial" w:cs="Arial"/>
          <w:b/>
        </w:rPr>
        <w:t>analysis</w:t>
      </w:r>
      <w:proofErr w:type="spellEnd"/>
      <w:r w:rsidRPr="00133134">
        <w:rPr>
          <w:rFonts w:ascii="Arial" w:hAnsi="Arial" w:cs="Arial"/>
          <w:b/>
        </w:rPr>
        <w:t xml:space="preserve"> on </w:t>
      </w:r>
      <w:proofErr w:type="spellStart"/>
      <w:r w:rsidRPr="00133134">
        <w:rPr>
          <w:rFonts w:ascii="Arial" w:hAnsi="Arial" w:cs="Arial"/>
          <w:b/>
        </w:rPr>
        <w:t>available</w:t>
      </w:r>
      <w:proofErr w:type="spellEnd"/>
      <w:r w:rsidRPr="00133134">
        <w:rPr>
          <w:rFonts w:ascii="Arial" w:hAnsi="Arial" w:cs="Arial"/>
          <w:b/>
        </w:rPr>
        <w:t xml:space="preserve"> </w:t>
      </w:r>
      <w:proofErr w:type="spellStart"/>
      <w:r w:rsidRPr="00133134">
        <w:rPr>
          <w:rFonts w:ascii="Arial" w:hAnsi="Arial" w:cs="Arial"/>
          <w:b/>
        </w:rPr>
        <w:t>income</w:t>
      </w:r>
      <w:proofErr w:type="spellEnd"/>
      <w:r w:rsidRPr="00133134">
        <w:rPr>
          <w:rFonts w:ascii="Arial" w:hAnsi="Arial" w:cs="Arial"/>
          <w:b/>
        </w:rPr>
        <w:t xml:space="preserve"> in Europe </w:t>
      </w:r>
      <w:proofErr w:type="spellStart"/>
      <w:r w:rsidRPr="00133134">
        <w:rPr>
          <w:rFonts w:ascii="Arial" w:hAnsi="Arial" w:cs="Arial"/>
          <w:b/>
        </w:rPr>
        <w:t>reveals</w:t>
      </w:r>
      <w:proofErr w:type="spellEnd"/>
      <w:r w:rsidRPr="00133134">
        <w:rPr>
          <w:rFonts w:ascii="Arial" w:hAnsi="Arial" w:cs="Arial"/>
          <w:b/>
        </w:rPr>
        <w:t xml:space="preserve"> </w:t>
      </w:r>
      <w:proofErr w:type="spellStart"/>
      <w:r w:rsidRPr="00133134">
        <w:rPr>
          <w:rFonts w:ascii="Arial" w:hAnsi="Arial" w:cs="Arial"/>
          <w:b/>
        </w:rPr>
        <w:t>increasing</w:t>
      </w:r>
      <w:proofErr w:type="spellEnd"/>
      <w:r w:rsidRPr="00133134">
        <w:rPr>
          <w:rFonts w:ascii="Arial" w:hAnsi="Arial" w:cs="Arial"/>
          <w:b/>
        </w:rPr>
        <w:t xml:space="preserve"> </w:t>
      </w:r>
      <w:proofErr w:type="spellStart"/>
      <w:r w:rsidRPr="00133134">
        <w:rPr>
          <w:rFonts w:ascii="Arial" w:hAnsi="Arial" w:cs="Arial"/>
          <w:b/>
        </w:rPr>
        <w:t>inequalities</w:t>
      </w:r>
      <w:proofErr w:type="spellEnd"/>
      <w:r w:rsidRPr="00133134">
        <w:rPr>
          <w:rFonts w:ascii="Arial" w:hAnsi="Arial" w:cs="Arial"/>
          <w:b/>
        </w:rPr>
        <w:t xml:space="preserve"> </w:t>
      </w:r>
      <w:proofErr w:type="spellStart"/>
      <w:r w:rsidRPr="00133134">
        <w:rPr>
          <w:rFonts w:ascii="Arial" w:hAnsi="Arial" w:cs="Arial"/>
          <w:b/>
        </w:rPr>
        <w:t>among</w:t>
      </w:r>
      <w:proofErr w:type="spellEnd"/>
      <w:r w:rsidRPr="00133134">
        <w:rPr>
          <w:rFonts w:ascii="Arial" w:hAnsi="Arial" w:cs="Arial"/>
          <w:b/>
        </w:rPr>
        <w:t xml:space="preserve"> individual countries, </w:t>
      </w:r>
      <w:proofErr w:type="spellStart"/>
      <w:r w:rsidRPr="00133134">
        <w:rPr>
          <w:rFonts w:ascii="Arial" w:hAnsi="Arial" w:cs="Arial"/>
          <w:b/>
        </w:rPr>
        <w:t>regions</w:t>
      </w:r>
      <w:proofErr w:type="spellEnd"/>
      <w:r w:rsidRPr="00133134">
        <w:rPr>
          <w:rFonts w:ascii="Arial" w:hAnsi="Arial" w:cs="Arial"/>
          <w:b/>
        </w:rPr>
        <w:t xml:space="preserve">, </w:t>
      </w:r>
      <w:proofErr w:type="spellStart"/>
      <w:r w:rsidRPr="00133134">
        <w:rPr>
          <w:rFonts w:ascii="Arial" w:hAnsi="Arial" w:cs="Arial"/>
          <w:b/>
        </w:rPr>
        <w:t>and</w:t>
      </w:r>
      <w:proofErr w:type="spellEnd"/>
      <w:r w:rsidRPr="00133134">
        <w:rPr>
          <w:rFonts w:ascii="Arial" w:hAnsi="Arial" w:cs="Arial"/>
          <w:b/>
        </w:rPr>
        <w:t xml:space="preserve"> also </w:t>
      </w:r>
      <w:proofErr w:type="spellStart"/>
      <w:r w:rsidRPr="00133134">
        <w:rPr>
          <w:rFonts w:ascii="Arial" w:hAnsi="Arial" w:cs="Arial"/>
          <w:b/>
        </w:rPr>
        <w:t>within</w:t>
      </w:r>
      <w:proofErr w:type="spellEnd"/>
      <w:r w:rsidRPr="00133134">
        <w:rPr>
          <w:rFonts w:ascii="Arial" w:hAnsi="Arial" w:cs="Arial"/>
          <w:b/>
        </w:rPr>
        <w:t xml:space="preserve"> </w:t>
      </w:r>
      <w:proofErr w:type="spellStart"/>
      <w:r w:rsidRPr="00133134">
        <w:rPr>
          <w:rFonts w:ascii="Arial" w:hAnsi="Arial" w:cs="Arial"/>
          <w:b/>
        </w:rPr>
        <w:t>population</w:t>
      </w:r>
      <w:proofErr w:type="spellEnd"/>
      <w:r w:rsidRPr="00133134">
        <w:rPr>
          <w:rFonts w:ascii="Arial" w:hAnsi="Arial" w:cs="Arial"/>
          <w:b/>
        </w:rPr>
        <w:t xml:space="preserve"> </w:t>
      </w:r>
      <w:proofErr w:type="spellStart"/>
      <w:r w:rsidRPr="00133134">
        <w:rPr>
          <w:rFonts w:ascii="Arial" w:hAnsi="Arial" w:cs="Arial"/>
          <w:b/>
        </w:rPr>
        <w:t>groups</w:t>
      </w:r>
      <w:proofErr w:type="spellEnd"/>
      <w:r w:rsidRPr="00133134">
        <w:rPr>
          <w:rFonts w:ascii="Arial" w:hAnsi="Arial" w:cs="Arial"/>
          <w:b/>
        </w:rPr>
        <w:t>.</w:t>
      </w:r>
    </w:p>
    <w:p w14:paraId="64E2AE03" w14:textId="77777777" w:rsidR="00133134" w:rsidRPr="00133134" w:rsidRDefault="00133134" w:rsidP="00133134">
      <w:pPr>
        <w:spacing w:line="360" w:lineRule="auto"/>
        <w:rPr>
          <w:rFonts w:ascii="Arial" w:hAnsi="Arial" w:cs="Arial"/>
          <w:b/>
          <w:sz w:val="20"/>
          <w:szCs w:val="16"/>
          <w:lang w:val="de-DE"/>
        </w:rPr>
      </w:pPr>
    </w:p>
    <w:p w14:paraId="4CFC9C44" w14:textId="20C75062" w:rsidR="00133134" w:rsidRDefault="00133134" w:rsidP="00133134">
      <w:pPr>
        <w:spacing w:line="360" w:lineRule="auto"/>
        <w:rPr>
          <w:rFonts w:ascii="Arial" w:hAnsi="Arial" w:cs="Arial"/>
          <w:b/>
          <w:sz w:val="20"/>
          <w:szCs w:val="16"/>
          <w:lang w:val="de-DE"/>
        </w:rPr>
      </w:pPr>
      <w:proofErr w:type="spellStart"/>
      <w:r w:rsidRPr="00133134">
        <w:rPr>
          <w:rFonts w:ascii="Arial" w:hAnsi="Arial" w:cs="Arial"/>
          <w:b/>
          <w:sz w:val="20"/>
          <w:szCs w:val="16"/>
          <w:lang w:val="de-DE"/>
        </w:rPr>
        <w:t>Upward</w:t>
      </w:r>
      <w:proofErr w:type="spellEnd"/>
      <w:r w:rsidRPr="00133134"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/>
          <w:sz w:val="20"/>
          <w:szCs w:val="16"/>
          <w:lang w:val="de-DE"/>
        </w:rPr>
        <w:t>tren</w:t>
      </w:r>
      <w:r>
        <w:rPr>
          <w:rFonts w:ascii="Arial" w:hAnsi="Arial" w:cs="Arial"/>
          <w:b/>
          <w:sz w:val="20"/>
          <w:szCs w:val="16"/>
          <w:lang w:val="de-DE"/>
        </w:rPr>
        <w:t>d</w:t>
      </w:r>
      <w:proofErr w:type="spellEnd"/>
      <w:r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6"/>
          <w:lang w:val="de-DE"/>
        </w:rPr>
        <w:t>for</w:t>
      </w:r>
      <w:proofErr w:type="spellEnd"/>
      <w:r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6"/>
          <w:lang w:val="de-DE"/>
        </w:rPr>
        <w:t>Europe's</w:t>
      </w:r>
      <w:proofErr w:type="spellEnd"/>
      <w:r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6"/>
          <w:lang w:val="de-DE"/>
        </w:rPr>
        <w:t>purchasing</w:t>
      </w:r>
      <w:proofErr w:type="spellEnd"/>
      <w:r>
        <w:rPr>
          <w:rFonts w:ascii="Arial" w:hAnsi="Arial" w:cs="Arial"/>
          <w:b/>
          <w:sz w:val="20"/>
          <w:szCs w:val="16"/>
          <w:lang w:val="de-DE"/>
        </w:rPr>
        <w:t xml:space="preserve"> power</w:t>
      </w:r>
    </w:p>
    <w:p w14:paraId="1397F819" w14:textId="7C6BCD63" w:rsidR="00133134" w:rsidRDefault="00133134" w:rsidP="00133134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In Europe,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year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2023 was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marked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by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renewed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increase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purchasing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power.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Compared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previous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year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per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capita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purchasing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power in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many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countries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rose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by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10%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or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more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although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this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partly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attributable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inflation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However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there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hasn't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been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much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change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country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rankings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: Liechtenstein,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Switzerland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Luxembourg,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Iceland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Norway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remain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countries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by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far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wealthiest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population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. The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bottom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-ranking countries also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remain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same: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Republic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Moldova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Kosovo,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Albania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Bosnia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Herzegovina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>.</w:t>
      </w:r>
      <w:r w:rsidRPr="00133134">
        <w:t xml:space="preserve"> </w:t>
      </w:r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The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difference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between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Switzerland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Republic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Moldova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for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example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has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continued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rise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sharply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now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27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times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higher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>.</w:t>
      </w:r>
    </w:p>
    <w:p w14:paraId="4EB3461A" w14:textId="77777777" w:rsidR="00133134" w:rsidRPr="00133134" w:rsidRDefault="00133134" w:rsidP="00133134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4866EF49" w14:textId="3E31BA95" w:rsidR="00133134" w:rsidRPr="00133134" w:rsidRDefault="00133134" w:rsidP="00133134">
      <w:pPr>
        <w:spacing w:line="360" w:lineRule="auto"/>
        <w:rPr>
          <w:rFonts w:ascii="Arial" w:hAnsi="Arial" w:cs="Arial"/>
          <w:b/>
          <w:sz w:val="20"/>
          <w:szCs w:val="16"/>
          <w:lang w:val="de-DE"/>
        </w:rPr>
      </w:pPr>
      <w:r w:rsidRPr="00133134">
        <w:rPr>
          <w:rFonts w:ascii="Arial" w:hAnsi="Arial" w:cs="Arial"/>
          <w:b/>
          <w:sz w:val="20"/>
          <w:szCs w:val="16"/>
          <w:lang w:val="de-DE"/>
        </w:rPr>
        <w:t xml:space="preserve">The </w:t>
      </w:r>
      <w:proofErr w:type="spellStart"/>
      <w:r w:rsidRPr="00133134">
        <w:rPr>
          <w:rFonts w:ascii="Arial" w:hAnsi="Arial" w:cs="Arial"/>
          <w:b/>
          <w:sz w:val="20"/>
          <w:szCs w:val="16"/>
          <w:lang w:val="de-DE"/>
        </w:rPr>
        <w:t>wealthy</w:t>
      </w:r>
      <w:proofErr w:type="spellEnd"/>
      <w:r w:rsidRPr="00133134">
        <w:rPr>
          <w:rFonts w:ascii="Arial" w:hAnsi="Arial" w:cs="Arial"/>
          <w:b/>
          <w:sz w:val="20"/>
          <w:szCs w:val="16"/>
          <w:lang w:val="de-DE"/>
        </w:rPr>
        <w:t xml:space="preserve"> countr</w:t>
      </w:r>
      <w:r>
        <w:rPr>
          <w:rFonts w:ascii="Arial" w:hAnsi="Arial" w:cs="Arial"/>
          <w:b/>
          <w:sz w:val="20"/>
          <w:szCs w:val="16"/>
          <w:lang w:val="de-DE"/>
        </w:rPr>
        <w:t xml:space="preserve">ies </w:t>
      </w:r>
      <w:proofErr w:type="spellStart"/>
      <w:r>
        <w:rPr>
          <w:rFonts w:ascii="Arial" w:hAnsi="Arial" w:cs="Arial"/>
          <w:b/>
          <w:sz w:val="20"/>
          <w:szCs w:val="16"/>
          <w:lang w:val="de-DE"/>
        </w:rPr>
        <w:t>are</w:t>
      </w:r>
      <w:proofErr w:type="spellEnd"/>
      <w:r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6"/>
          <w:lang w:val="de-DE"/>
        </w:rPr>
        <w:t>becoming</w:t>
      </w:r>
      <w:proofErr w:type="spellEnd"/>
      <w:r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6"/>
          <w:lang w:val="de-DE"/>
        </w:rPr>
        <w:t>richer</w:t>
      </w:r>
      <w:proofErr w:type="spellEnd"/>
      <w:r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6"/>
          <w:lang w:val="de-DE"/>
        </w:rPr>
        <w:t>rapidly</w:t>
      </w:r>
      <w:proofErr w:type="spellEnd"/>
    </w:p>
    <w:p w14:paraId="29ED33CA" w14:textId="2FF6A7C6" w:rsidR="00874251" w:rsidRDefault="00133134" w:rsidP="00133134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While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Republic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Moldova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average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purchasing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power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has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only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doubled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an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increase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around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€1,000 per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capita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per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year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over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last 10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years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during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same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period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Switzerland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it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has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risen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by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approximately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€17,000 per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capita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per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year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Switzerland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alongside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Iceland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has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experienced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by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far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highest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leap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purchasing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power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during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this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time. The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lowest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performance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terms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population's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prosperity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level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was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achieved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in Turkey, Kosovo,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and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Republic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Moldova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(all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figures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converted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133134">
        <w:rPr>
          <w:rFonts w:ascii="Arial" w:hAnsi="Arial" w:cs="Arial"/>
          <w:bCs/>
          <w:sz w:val="20"/>
          <w:szCs w:val="24"/>
          <w:lang w:val="de-DE"/>
        </w:rPr>
        <w:t>euros</w:t>
      </w:r>
      <w:proofErr w:type="spellEnd"/>
      <w:r w:rsidRPr="00133134">
        <w:rPr>
          <w:rFonts w:ascii="Arial" w:hAnsi="Arial" w:cs="Arial"/>
          <w:bCs/>
          <w:sz w:val="20"/>
          <w:szCs w:val="24"/>
          <w:lang w:val="de-DE"/>
        </w:rPr>
        <w:t>).</w:t>
      </w:r>
    </w:p>
    <w:p w14:paraId="35A7C41B" w14:textId="04E04D18" w:rsidR="00874251" w:rsidRDefault="00874251" w:rsidP="00B5008C">
      <w:pPr>
        <w:spacing w:after="100" w:line="240" w:lineRule="auto"/>
        <w:jc w:val="both"/>
        <w:rPr>
          <w:rFonts w:ascii="Arial" w:hAnsi="Arial" w:cs="Arial"/>
          <w:bCs/>
          <w:sz w:val="24"/>
          <w:szCs w:val="20"/>
          <w:u w:val="single"/>
          <w:lang w:val="de-DE"/>
        </w:rPr>
      </w:pPr>
    </w:p>
    <w:p w14:paraId="2760ED42" w14:textId="7C61433F" w:rsidR="00874251" w:rsidRDefault="00874251" w:rsidP="00B5008C">
      <w:pPr>
        <w:spacing w:after="100" w:line="240" w:lineRule="auto"/>
        <w:jc w:val="both"/>
        <w:rPr>
          <w:rFonts w:ascii="Arial" w:hAnsi="Arial" w:cs="Arial"/>
          <w:bCs/>
          <w:sz w:val="24"/>
          <w:szCs w:val="20"/>
          <w:u w:val="single"/>
          <w:lang w:val="de-DE"/>
        </w:rPr>
      </w:pPr>
    </w:p>
    <w:p w14:paraId="470F1B3F" w14:textId="77777777" w:rsidR="00133134" w:rsidRPr="00133134" w:rsidRDefault="00133134" w:rsidP="00133134">
      <w:pPr>
        <w:spacing w:line="360" w:lineRule="auto"/>
        <w:rPr>
          <w:rFonts w:ascii="Arial" w:hAnsi="Arial" w:cs="Arial"/>
          <w:b/>
          <w:sz w:val="20"/>
          <w:szCs w:val="16"/>
          <w:lang w:val="de-DE"/>
        </w:rPr>
      </w:pPr>
    </w:p>
    <w:p w14:paraId="59B2331A" w14:textId="186B8EDB" w:rsidR="00133134" w:rsidRDefault="00133134" w:rsidP="00133134">
      <w:pPr>
        <w:spacing w:line="360" w:lineRule="auto"/>
        <w:rPr>
          <w:rFonts w:ascii="Arial" w:hAnsi="Arial" w:cs="Arial"/>
          <w:b/>
          <w:sz w:val="20"/>
          <w:szCs w:val="16"/>
          <w:lang w:val="de-DE"/>
        </w:rPr>
      </w:pPr>
      <w:r w:rsidRPr="00133134">
        <w:rPr>
          <w:rFonts w:ascii="Arial" w:hAnsi="Arial" w:cs="Arial"/>
          <w:b/>
          <w:sz w:val="20"/>
          <w:szCs w:val="16"/>
          <w:lang w:val="de-DE"/>
        </w:rPr>
        <w:t xml:space="preserve">Regional </w:t>
      </w:r>
      <w:proofErr w:type="spellStart"/>
      <w:r w:rsidRPr="00133134">
        <w:rPr>
          <w:rFonts w:ascii="Arial" w:hAnsi="Arial" w:cs="Arial"/>
          <w:b/>
          <w:sz w:val="20"/>
          <w:szCs w:val="16"/>
          <w:lang w:val="de-DE"/>
        </w:rPr>
        <w:t>dispa</w:t>
      </w:r>
      <w:r w:rsidR="00206B6F">
        <w:rPr>
          <w:rFonts w:ascii="Arial" w:hAnsi="Arial" w:cs="Arial"/>
          <w:b/>
          <w:sz w:val="20"/>
          <w:szCs w:val="16"/>
          <w:lang w:val="de-DE"/>
        </w:rPr>
        <w:t>rities</w:t>
      </w:r>
      <w:proofErr w:type="spellEnd"/>
      <w:r w:rsidR="00206B6F"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 w:rsidR="00206B6F">
        <w:rPr>
          <w:rFonts w:ascii="Arial" w:hAnsi="Arial" w:cs="Arial"/>
          <w:b/>
          <w:sz w:val="20"/>
          <w:szCs w:val="16"/>
          <w:lang w:val="de-DE"/>
        </w:rPr>
        <w:t>are</w:t>
      </w:r>
      <w:proofErr w:type="spellEnd"/>
      <w:r w:rsidR="00206B6F"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 w:rsidR="00206B6F">
        <w:rPr>
          <w:rFonts w:ascii="Arial" w:hAnsi="Arial" w:cs="Arial"/>
          <w:b/>
          <w:sz w:val="20"/>
          <w:szCs w:val="16"/>
          <w:lang w:val="de-DE"/>
        </w:rPr>
        <w:t>gradually</w:t>
      </w:r>
      <w:proofErr w:type="spellEnd"/>
      <w:r w:rsidR="00206B6F"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 w:rsidR="00206B6F">
        <w:rPr>
          <w:rFonts w:ascii="Arial" w:hAnsi="Arial" w:cs="Arial"/>
          <w:b/>
          <w:sz w:val="20"/>
          <w:szCs w:val="16"/>
          <w:lang w:val="de-DE"/>
        </w:rPr>
        <w:t>increasing</w:t>
      </w:r>
      <w:proofErr w:type="spellEnd"/>
    </w:p>
    <w:p w14:paraId="05345D77" w14:textId="77777777" w:rsidR="001E0C76" w:rsidRDefault="001E0C76" w:rsidP="00C67444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1E0C76">
        <w:rPr>
          <w:rFonts w:ascii="Arial" w:hAnsi="Arial" w:cs="Arial"/>
          <w:sz w:val="20"/>
          <w:szCs w:val="20"/>
          <w:lang w:val="de-DE"/>
        </w:rPr>
        <w:t xml:space="preserve">In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addition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overall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positive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trend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purchasing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power per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capita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in Europe,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it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also evident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that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regional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differences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within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individual countries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either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increasing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or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at least not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significantly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decreasing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. In countries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traditionally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large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disparities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, such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Italy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Spain,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gap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between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affluent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north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impoverished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south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has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not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narrowed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over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past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10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years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. This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despite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substantial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transfer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payments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which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known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contribute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significant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tendencies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separation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on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part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wealthy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regions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>.</w:t>
      </w:r>
    </w:p>
    <w:p w14:paraId="2B450E4D" w14:textId="6DDC2BC1" w:rsidR="00C67444" w:rsidRDefault="001E0C76" w:rsidP="001E0C76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Despite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35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years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reunification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noticeable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disparities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prosperity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between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East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West Germany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only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slowly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diminishing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. In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Croatia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where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significant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differences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exist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between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affluent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coastal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region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impoverished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hinterland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there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only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gradual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convergence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. In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United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Kingdom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disparity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between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England,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particularly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London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region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poorer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parts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in Wales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Scotland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has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even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slightly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0C76">
        <w:rPr>
          <w:rFonts w:ascii="Arial" w:hAnsi="Arial" w:cs="Arial"/>
          <w:sz w:val="20"/>
          <w:szCs w:val="20"/>
          <w:lang w:val="de-DE"/>
        </w:rPr>
        <w:t>increased</w:t>
      </w:r>
      <w:proofErr w:type="spellEnd"/>
      <w:r w:rsidRPr="001E0C76">
        <w:rPr>
          <w:rFonts w:ascii="Arial" w:hAnsi="Arial" w:cs="Arial"/>
          <w:sz w:val="20"/>
          <w:szCs w:val="20"/>
          <w:lang w:val="de-DE"/>
        </w:rPr>
        <w:t>.</w:t>
      </w:r>
    </w:p>
    <w:p w14:paraId="784AB512" w14:textId="77777777" w:rsidR="00A4066A" w:rsidRPr="00A4066A" w:rsidRDefault="00A4066A" w:rsidP="00A4066A">
      <w:pPr>
        <w:spacing w:line="360" w:lineRule="auto"/>
        <w:rPr>
          <w:rFonts w:ascii="Arial" w:hAnsi="Arial" w:cs="Arial"/>
          <w:b/>
          <w:sz w:val="20"/>
          <w:szCs w:val="16"/>
          <w:lang w:val="de-DE"/>
        </w:rPr>
      </w:pPr>
    </w:p>
    <w:p w14:paraId="0C0B4C8A" w14:textId="77777777" w:rsidR="00A4066A" w:rsidRDefault="00A4066A" w:rsidP="00A4066A">
      <w:pPr>
        <w:spacing w:line="360" w:lineRule="auto"/>
        <w:rPr>
          <w:rFonts w:ascii="Arial" w:hAnsi="Arial" w:cs="Arial"/>
          <w:b/>
          <w:sz w:val="20"/>
          <w:szCs w:val="16"/>
          <w:lang w:val="de-DE"/>
        </w:rPr>
      </w:pPr>
      <w:proofErr w:type="spellStart"/>
      <w:r w:rsidRPr="00A4066A">
        <w:rPr>
          <w:rFonts w:ascii="Arial" w:hAnsi="Arial" w:cs="Arial"/>
          <w:b/>
          <w:sz w:val="20"/>
          <w:szCs w:val="16"/>
          <w:lang w:val="de-DE"/>
        </w:rPr>
        <w:t>Increasing</w:t>
      </w:r>
      <w:proofErr w:type="spellEnd"/>
      <w:r w:rsidRPr="00A4066A"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 w:rsidRPr="00A4066A">
        <w:rPr>
          <w:rFonts w:ascii="Arial" w:hAnsi="Arial" w:cs="Arial"/>
          <w:b/>
          <w:sz w:val="20"/>
          <w:szCs w:val="16"/>
          <w:lang w:val="de-DE"/>
        </w:rPr>
        <w:t>dispa</w:t>
      </w:r>
      <w:r>
        <w:rPr>
          <w:rFonts w:ascii="Arial" w:hAnsi="Arial" w:cs="Arial"/>
          <w:b/>
          <w:sz w:val="20"/>
          <w:szCs w:val="16"/>
          <w:lang w:val="de-DE"/>
        </w:rPr>
        <w:t>rities</w:t>
      </w:r>
      <w:proofErr w:type="spellEnd"/>
      <w:r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6"/>
          <w:lang w:val="de-DE"/>
        </w:rPr>
        <w:t>within</w:t>
      </w:r>
      <w:proofErr w:type="spellEnd"/>
      <w:r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6"/>
          <w:lang w:val="de-DE"/>
        </w:rPr>
        <w:t>population</w:t>
      </w:r>
      <w:proofErr w:type="spellEnd"/>
      <w:r>
        <w:rPr>
          <w:rFonts w:ascii="Arial" w:hAnsi="Arial" w:cs="Arial"/>
          <w:b/>
          <w:sz w:val="20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6"/>
          <w:lang w:val="de-DE"/>
        </w:rPr>
        <w:t>groups</w:t>
      </w:r>
      <w:proofErr w:type="spellEnd"/>
    </w:p>
    <w:p w14:paraId="48BF0827" w14:textId="77777777" w:rsidR="00514629" w:rsidRDefault="00514629" w:rsidP="00FA023D">
      <w:pPr>
        <w:spacing w:line="360" w:lineRule="auto"/>
        <w:rPr>
          <w:rFonts w:ascii="Arial" w:hAnsi="Arial" w:cs="Arial"/>
          <w:sz w:val="20"/>
          <w:szCs w:val="20"/>
        </w:rPr>
      </w:pPr>
      <w:r w:rsidRPr="00514629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514629">
        <w:rPr>
          <w:rFonts w:ascii="Arial" w:hAnsi="Arial" w:cs="Arial"/>
          <w:sz w:val="20"/>
          <w:szCs w:val="20"/>
        </w:rPr>
        <w:t>the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national </w:t>
      </w:r>
      <w:proofErr w:type="spellStart"/>
      <w:r w:rsidRPr="00514629">
        <w:rPr>
          <w:rFonts w:ascii="Arial" w:hAnsi="Arial" w:cs="Arial"/>
          <w:sz w:val="20"/>
          <w:szCs w:val="20"/>
        </w:rPr>
        <w:t>level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629">
        <w:rPr>
          <w:rFonts w:ascii="Arial" w:hAnsi="Arial" w:cs="Arial"/>
          <w:sz w:val="20"/>
          <w:szCs w:val="20"/>
        </w:rPr>
        <w:t>the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differences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between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rich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and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poor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have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514629">
        <w:rPr>
          <w:rFonts w:ascii="Arial" w:hAnsi="Arial" w:cs="Arial"/>
          <w:sz w:val="20"/>
          <w:szCs w:val="20"/>
        </w:rPr>
        <w:t>changed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significantly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over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the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past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514629">
        <w:rPr>
          <w:rFonts w:ascii="Arial" w:hAnsi="Arial" w:cs="Arial"/>
          <w:sz w:val="20"/>
          <w:szCs w:val="20"/>
        </w:rPr>
        <w:t>years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14629">
        <w:rPr>
          <w:rFonts w:ascii="Arial" w:hAnsi="Arial" w:cs="Arial"/>
          <w:sz w:val="20"/>
          <w:szCs w:val="20"/>
        </w:rPr>
        <w:t>While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countries like </w:t>
      </w:r>
      <w:proofErr w:type="spellStart"/>
      <w:r w:rsidRPr="00514629">
        <w:rPr>
          <w:rFonts w:ascii="Arial" w:hAnsi="Arial" w:cs="Arial"/>
          <w:sz w:val="20"/>
          <w:szCs w:val="20"/>
        </w:rPr>
        <w:t>Slovakia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629">
        <w:rPr>
          <w:rFonts w:ascii="Arial" w:hAnsi="Arial" w:cs="Arial"/>
          <w:sz w:val="20"/>
          <w:szCs w:val="20"/>
        </w:rPr>
        <w:t>Slovenia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629">
        <w:rPr>
          <w:rFonts w:ascii="Arial" w:hAnsi="Arial" w:cs="Arial"/>
          <w:sz w:val="20"/>
          <w:szCs w:val="20"/>
        </w:rPr>
        <w:t>Iceland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629">
        <w:rPr>
          <w:rFonts w:ascii="Arial" w:hAnsi="Arial" w:cs="Arial"/>
          <w:sz w:val="20"/>
          <w:szCs w:val="20"/>
        </w:rPr>
        <w:t>and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the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Czech </w:t>
      </w:r>
      <w:proofErr w:type="spellStart"/>
      <w:r w:rsidRPr="00514629">
        <w:rPr>
          <w:rFonts w:ascii="Arial" w:hAnsi="Arial" w:cs="Arial"/>
          <w:sz w:val="20"/>
          <w:szCs w:val="20"/>
        </w:rPr>
        <w:t>Republic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exhibit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relatively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stable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income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distribution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14629">
        <w:rPr>
          <w:rFonts w:ascii="Arial" w:hAnsi="Arial" w:cs="Arial"/>
          <w:sz w:val="20"/>
          <w:szCs w:val="20"/>
        </w:rPr>
        <w:t>with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Gini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coefficients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consistently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below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25 </w:t>
      </w:r>
      <w:proofErr w:type="spellStart"/>
      <w:r w:rsidRPr="00514629">
        <w:rPr>
          <w:rFonts w:ascii="Arial" w:hAnsi="Arial" w:cs="Arial"/>
          <w:sz w:val="20"/>
          <w:szCs w:val="20"/>
        </w:rPr>
        <w:t>points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14629">
        <w:rPr>
          <w:rFonts w:ascii="Arial" w:hAnsi="Arial" w:cs="Arial"/>
          <w:sz w:val="20"/>
          <w:szCs w:val="20"/>
        </w:rPr>
        <w:t>the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largest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14629">
        <w:rPr>
          <w:rFonts w:ascii="Arial" w:hAnsi="Arial" w:cs="Arial"/>
          <w:sz w:val="20"/>
          <w:szCs w:val="20"/>
        </w:rPr>
        <w:t>and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continually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increasing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14629">
        <w:rPr>
          <w:rFonts w:ascii="Arial" w:hAnsi="Arial" w:cs="Arial"/>
          <w:sz w:val="20"/>
          <w:szCs w:val="20"/>
        </w:rPr>
        <w:t>inequalities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persist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in Kosovo (</w:t>
      </w:r>
      <w:proofErr w:type="spellStart"/>
      <w:r w:rsidRPr="00514629">
        <w:rPr>
          <w:rFonts w:ascii="Arial" w:hAnsi="Arial" w:cs="Arial"/>
          <w:sz w:val="20"/>
          <w:szCs w:val="20"/>
        </w:rPr>
        <w:t>Gini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coefficient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of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44 </w:t>
      </w:r>
      <w:proofErr w:type="spellStart"/>
      <w:r w:rsidRPr="00514629">
        <w:rPr>
          <w:rFonts w:ascii="Arial" w:hAnsi="Arial" w:cs="Arial"/>
          <w:sz w:val="20"/>
          <w:szCs w:val="20"/>
        </w:rPr>
        <w:t>points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), Turkey, </w:t>
      </w:r>
      <w:proofErr w:type="spellStart"/>
      <w:r w:rsidRPr="00514629">
        <w:rPr>
          <w:rFonts w:ascii="Arial" w:hAnsi="Arial" w:cs="Arial"/>
          <w:sz w:val="20"/>
          <w:szCs w:val="20"/>
        </w:rPr>
        <w:t>and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Bulgaria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14629">
        <w:rPr>
          <w:rFonts w:ascii="Arial" w:hAnsi="Arial" w:cs="Arial"/>
          <w:sz w:val="20"/>
          <w:szCs w:val="20"/>
        </w:rPr>
        <w:t>Some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countries, </w:t>
      </w:r>
      <w:proofErr w:type="spellStart"/>
      <w:r w:rsidRPr="00514629">
        <w:rPr>
          <w:rFonts w:ascii="Arial" w:hAnsi="Arial" w:cs="Arial"/>
          <w:sz w:val="20"/>
          <w:szCs w:val="20"/>
        </w:rPr>
        <w:t>particularly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14629">
        <w:rPr>
          <w:rFonts w:ascii="Arial" w:hAnsi="Arial" w:cs="Arial"/>
          <w:sz w:val="20"/>
          <w:szCs w:val="20"/>
        </w:rPr>
        <w:t>former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Eastern European </w:t>
      </w:r>
      <w:proofErr w:type="spellStart"/>
      <w:r w:rsidRPr="00514629">
        <w:rPr>
          <w:rFonts w:ascii="Arial" w:hAnsi="Arial" w:cs="Arial"/>
          <w:sz w:val="20"/>
          <w:szCs w:val="20"/>
        </w:rPr>
        <w:t>regions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and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Turkey, </w:t>
      </w:r>
      <w:proofErr w:type="spellStart"/>
      <w:r w:rsidRPr="00514629">
        <w:rPr>
          <w:rFonts w:ascii="Arial" w:hAnsi="Arial" w:cs="Arial"/>
          <w:sz w:val="20"/>
          <w:szCs w:val="20"/>
        </w:rPr>
        <w:t>benefit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from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a strong </w:t>
      </w:r>
      <w:proofErr w:type="spellStart"/>
      <w:r w:rsidRPr="00514629">
        <w:rPr>
          <w:rFonts w:ascii="Arial" w:hAnsi="Arial" w:cs="Arial"/>
          <w:sz w:val="20"/>
          <w:szCs w:val="20"/>
        </w:rPr>
        <w:t>diaspora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14629">
        <w:rPr>
          <w:rFonts w:ascii="Arial" w:hAnsi="Arial" w:cs="Arial"/>
          <w:sz w:val="20"/>
          <w:szCs w:val="20"/>
        </w:rPr>
        <w:t>Greater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income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inequalities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can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be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mitigated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to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some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extent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through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remittances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and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transfer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payments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to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the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home</w:t>
      </w:r>
      <w:proofErr w:type="spellEnd"/>
      <w:r w:rsidRPr="0051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</w:rPr>
        <w:t>country</w:t>
      </w:r>
      <w:proofErr w:type="spellEnd"/>
      <w:r w:rsidRPr="00514629">
        <w:rPr>
          <w:rFonts w:ascii="Arial" w:hAnsi="Arial" w:cs="Arial"/>
          <w:sz w:val="20"/>
          <w:szCs w:val="20"/>
        </w:rPr>
        <w:t>.</w:t>
      </w:r>
    </w:p>
    <w:bookmarkEnd w:id="0"/>
    <w:p w14:paraId="7F04635A" w14:textId="77777777" w:rsidR="00514629" w:rsidRPr="00514629" w:rsidRDefault="00514629" w:rsidP="0051462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514629">
        <w:rPr>
          <w:rFonts w:ascii="Arial" w:hAnsi="Arial" w:cs="Arial"/>
          <w:sz w:val="20"/>
          <w:szCs w:val="20"/>
          <w:lang w:val="de-DE"/>
        </w:rPr>
        <w:t xml:space="preserve">Long-term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trends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clearly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show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that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across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all countries in Europe, urban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regions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gaining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significant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purchasing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power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while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peripheral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areas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losing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ground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. The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importance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rural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areas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continues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decline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more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young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people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move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cities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motivated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better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education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career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opportunities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. A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relatively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new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development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however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that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cities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themselves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losing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relative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purchasing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power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often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fall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below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national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average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while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so-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called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"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suburbs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"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or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"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peripheral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areas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"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gaining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significantly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Examples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this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trend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can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be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observed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cities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like Paris, Vienna,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or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Istanbul. The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reasons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this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may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lie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influx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population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groups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lower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purchasing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power,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which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can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drag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down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overall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14629">
        <w:rPr>
          <w:rFonts w:ascii="Arial" w:hAnsi="Arial" w:cs="Arial"/>
          <w:sz w:val="20"/>
          <w:szCs w:val="20"/>
          <w:lang w:val="de-DE"/>
        </w:rPr>
        <w:t>average</w:t>
      </w:r>
      <w:proofErr w:type="spellEnd"/>
      <w:r w:rsidRPr="00514629">
        <w:rPr>
          <w:rFonts w:ascii="Arial" w:hAnsi="Arial" w:cs="Arial"/>
          <w:sz w:val="20"/>
          <w:szCs w:val="20"/>
          <w:lang w:val="de-DE"/>
        </w:rPr>
        <w:t>.</w:t>
      </w:r>
    </w:p>
    <w:p w14:paraId="666462A9" w14:textId="77777777" w:rsidR="00514629" w:rsidRPr="00514629" w:rsidRDefault="00514629" w:rsidP="0051462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3429EE0C" w14:textId="77777777" w:rsidR="00514629" w:rsidRPr="00514629" w:rsidRDefault="00514629" w:rsidP="0051462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42E05DCA" w14:textId="77777777" w:rsidR="00403D15" w:rsidRDefault="00403D15" w:rsidP="0004253B">
      <w:pPr>
        <w:rPr>
          <w:rFonts w:ascii="Arial" w:hAnsi="Arial" w:cs="Arial"/>
          <w:b/>
        </w:rPr>
      </w:pPr>
    </w:p>
    <w:p w14:paraId="1C6CB49C" w14:textId="77777777" w:rsidR="00046AA4" w:rsidRDefault="00046AA4" w:rsidP="0004253B">
      <w:pPr>
        <w:rPr>
          <w:rFonts w:ascii="Arial" w:hAnsi="Arial" w:cs="Arial"/>
          <w:b/>
        </w:rPr>
      </w:pPr>
    </w:p>
    <w:p w14:paraId="509345C5" w14:textId="636D0F4C" w:rsidR="000200FD" w:rsidRPr="0004253B" w:rsidRDefault="00687EAA" w:rsidP="000425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</w:t>
      </w:r>
    </w:p>
    <w:p w14:paraId="598D6D28" w14:textId="3B4E31C5" w:rsidR="0004253B" w:rsidRDefault="00687EAA" w:rsidP="0004253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687EAA">
        <w:rPr>
          <w:rFonts w:ascii="Arial" w:hAnsi="Arial" w:cs="Arial"/>
          <w:sz w:val="20"/>
          <w:szCs w:val="20"/>
          <w:lang w:val="de-DE"/>
        </w:rPr>
        <w:t xml:space="preserve">The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term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"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purchasing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power"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defined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sum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all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types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income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including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wages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self-employed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income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capital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assets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rentals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agriculture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pensions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subsidies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, etc.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Deducted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from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this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compulsory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payments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namely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taxes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social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security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contributions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Purchasing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power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thus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refers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income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that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freely</w:t>
      </w:r>
      <w:proofErr w:type="spellEnd"/>
      <w:r w:rsidRPr="00687EA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  <w:lang w:val="de-DE"/>
        </w:rPr>
        <w:t>available</w:t>
      </w:r>
      <w:proofErr w:type="spellEnd"/>
      <w:r>
        <w:rPr>
          <w:rFonts w:ascii="Arial" w:hAnsi="Arial" w:cs="Arial"/>
          <w:sz w:val="20"/>
          <w:szCs w:val="20"/>
          <w:lang w:val="de-DE"/>
        </w:rPr>
        <w:t>.</w:t>
      </w:r>
    </w:p>
    <w:p w14:paraId="69A0078A" w14:textId="77777777" w:rsidR="00687EAA" w:rsidRPr="0004253B" w:rsidRDefault="00687EAA" w:rsidP="0004253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534AE8AA" w14:textId="52F55203" w:rsidR="00687EAA" w:rsidRPr="00687EAA" w:rsidRDefault="00687EAA" w:rsidP="00687EA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About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study</w:t>
      </w:r>
      <w:proofErr w:type="spellEnd"/>
    </w:p>
    <w:p w14:paraId="285827A4" w14:textId="77777777" w:rsidR="00687EAA" w:rsidRDefault="00687EAA" w:rsidP="00687EAA">
      <w:pPr>
        <w:spacing w:line="360" w:lineRule="auto"/>
        <w:rPr>
          <w:rFonts w:ascii="Arial" w:hAnsi="Arial" w:cs="Arial"/>
          <w:sz w:val="20"/>
          <w:szCs w:val="20"/>
        </w:rPr>
      </w:pPr>
      <w:r w:rsidRPr="00687EAA">
        <w:rPr>
          <w:rFonts w:ascii="Arial" w:hAnsi="Arial" w:cs="Arial"/>
          <w:sz w:val="20"/>
          <w:szCs w:val="20"/>
        </w:rPr>
        <w:t xml:space="preserve">The RegioData </w:t>
      </w:r>
      <w:proofErr w:type="spellStart"/>
      <w:r w:rsidRPr="00687EAA">
        <w:rPr>
          <w:rFonts w:ascii="Arial" w:hAnsi="Arial" w:cs="Arial"/>
          <w:sz w:val="20"/>
          <w:szCs w:val="20"/>
        </w:rPr>
        <w:t>purchasing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power </w:t>
      </w:r>
      <w:proofErr w:type="spellStart"/>
      <w:r w:rsidRPr="00687EAA">
        <w:rPr>
          <w:rFonts w:ascii="Arial" w:hAnsi="Arial" w:cs="Arial"/>
          <w:sz w:val="20"/>
          <w:szCs w:val="20"/>
        </w:rPr>
        <w:t>indices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present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the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regional </w:t>
      </w:r>
      <w:proofErr w:type="spellStart"/>
      <w:r w:rsidRPr="00687EAA">
        <w:rPr>
          <w:rFonts w:ascii="Arial" w:hAnsi="Arial" w:cs="Arial"/>
          <w:sz w:val="20"/>
          <w:szCs w:val="20"/>
        </w:rPr>
        <w:t>prosperity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level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of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87EAA">
        <w:rPr>
          <w:rFonts w:ascii="Arial" w:hAnsi="Arial" w:cs="Arial"/>
          <w:sz w:val="20"/>
          <w:szCs w:val="20"/>
        </w:rPr>
        <w:t>country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687EAA">
        <w:rPr>
          <w:rFonts w:ascii="Arial" w:hAnsi="Arial" w:cs="Arial"/>
          <w:sz w:val="20"/>
          <w:szCs w:val="20"/>
        </w:rPr>
        <w:t>clear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manner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7EAA">
        <w:rPr>
          <w:rFonts w:ascii="Arial" w:hAnsi="Arial" w:cs="Arial"/>
          <w:sz w:val="20"/>
          <w:szCs w:val="20"/>
        </w:rPr>
        <w:t>Purchasing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power </w:t>
      </w:r>
      <w:proofErr w:type="spellStart"/>
      <w:r w:rsidRPr="00687EAA">
        <w:rPr>
          <w:rFonts w:ascii="Arial" w:hAnsi="Arial" w:cs="Arial"/>
          <w:sz w:val="20"/>
          <w:szCs w:val="20"/>
        </w:rPr>
        <w:t>is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understood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as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the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ability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of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an individual </w:t>
      </w:r>
      <w:proofErr w:type="spellStart"/>
      <w:r w:rsidRPr="00687EAA">
        <w:rPr>
          <w:rFonts w:ascii="Arial" w:hAnsi="Arial" w:cs="Arial"/>
          <w:sz w:val="20"/>
          <w:szCs w:val="20"/>
        </w:rPr>
        <w:t>or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household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to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acquire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goods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7EAA">
        <w:rPr>
          <w:rFonts w:ascii="Arial" w:hAnsi="Arial" w:cs="Arial"/>
          <w:sz w:val="20"/>
          <w:szCs w:val="20"/>
        </w:rPr>
        <w:t>services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7EAA">
        <w:rPr>
          <w:rFonts w:ascii="Arial" w:hAnsi="Arial" w:cs="Arial"/>
          <w:sz w:val="20"/>
          <w:szCs w:val="20"/>
        </w:rPr>
        <w:t>and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rights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within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87EAA">
        <w:rPr>
          <w:rFonts w:ascii="Arial" w:hAnsi="Arial" w:cs="Arial"/>
          <w:sz w:val="20"/>
          <w:szCs w:val="20"/>
        </w:rPr>
        <w:t>specific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period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with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the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available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financial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resources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Pr="00687EAA">
        <w:rPr>
          <w:rFonts w:ascii="Arial" w:hAnsi="Arial" w:cs="Arial"/>
          <w:sz w:val="20"/>
          <w:szCs w:val="20"/>
        </w:rPr>
        <w:t>index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indicates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deviations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from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the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respective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national </w:t>
      </w:r>
      <w:proofErr w:type="spellStart"/>
      <w:r w:rsidRPr="00687EAA">
        <w:rPr>
          <w:rFonts w:ascii="Arial" w:hAnsi="Arial" w:cs="Arial"/>
          <w:sz w:val="20"/>
          <w:szCs w:val="20"/>
        </w:rPr>
        <w:t>average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prosperity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level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87EAA">
        <w:rPr>
          <w:rFonts w:ascii="Arial" w:hAnsi="Arial" w:cs="Arial"/>
          <w:sz w:val="20"/>
          <w:szCs w:val="20"/>
        </w:rPr>
        <w:t>fixed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at 100).</w:t>
      </w:r>
    </w:p>
    <w:p w14:paraId="7BEB1BA1" w14:textId="151617C6" w:rsidR="00F47999" w:rsidRDefault="00687EAA" w:rsidP="00687EAA">
      <w:pPr>
        <w:spacing w:line="360" w:lineRule="auto"/>
        <w:rPr>
          <w:rStyle w:val="Hyperlink"/>
          <w:rFonts w:ascii="Arial" w:hAnsi="Arial" w:cs="Arial"/>
          <w:color w:val="009ADB"/>
          <w:sz w:val="20"/>
          <w:szCs w:val="20"/>
        </w:rPr>
      </w:pPr>
      <w:r w:rsidRPr="00687EAA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687EAA">
        <w:rPr>
          <w:rFonts w:ascii="Arial" w:hAnsi="Arial" w:cs="Arial"/>
          <w:sz w:val="20"/>
          <w:szCs w:val="20"/>
        </w:rPr>
        <w:t>study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r w:rsidRPr="005530C2">
        <w:rPr>
          <w:rFonts w:ascii="Arial" w:hAnsi="Arial" w:cs="Arial"/>
          <w:b/>
          <w:sz w:val="20"/>
          <w:szCs w:val="20"/>
        </w:rPr>
        <w:t>"</w:t>
      </w:r>
      <w:proofErr w:type="spellStart"/>
      <w:r w:rsidRPr="005530C2">
        <w:rPr>
          <w:rFonts w:ascii="Arial" w:hAnsi="Arial" w:cs="Arial"/>
          <w:b/>
          <w:sz w:val="20"/>
          <w:szCs w:val="20"/>
        </w:rPr>
        <w:t>Purchasing</w:t>
      </w:r>
      <w:proofErr w:type="spellEnd"/>
      <w:r w:rsidRPr="005530C2">
        <w:rPr>
          <w:rFonts w:ascii="Arial" w:hAnsi="Arial" w:cs="Arial"/>
          <w:b/>
          <w:sz w:val="20"/>
          <w:szCs w:val="20"/>
        </w:rPr>
        <w:t xml:space="preserve"> Power Europe - Edition 2023"</w:t>
      </w:r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is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available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for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each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country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starting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from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€800 (plus 20% VAT) at RegioData. </w:t>
      </w:r>
      <w:proofErr w:type="spellStart"/>
      <w:r w:rsidRPr="00687EAA">
        <w:rPr>
          <w:rFonts w:ascii="Arial" w:hAnsi="Arial" w:cs="Arial"/>
          <w:sz w:val="20"/>
          <w:szCs w:val="20"/>
        </w:rPr>
        <w:t>For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more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information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7EAA">
        <w:rPr>
          <w:rFonts w:ascii="Arial" w:hAnsi="Arial" w:cs="Arial"/>
          <w:sz w:val="20"/>
          <w:szCs w:val="20"/>
        </w:rPr>
        <w:t>please</w:t>
      </w:r>
      <w:proofErr w:type="spellEnd"/>
      <w:r w:rsidRPr="00687E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EAA">
        <w:rPr>
          <w:rFonts w:ascii="Arial" w:hAnsi="Arial" w:cs="Arial"/>
          <w:sz w:val="20"/>
          <w:szCs w:val="20"/>
        </w:rPr>
        <w:t>visit</w:t>
      </w:r>
      <w:proofErr w:type="spellEnd"/>
      <w:r w:rsidR="009B5F5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0083A" w:rsidRPr="00F6164D">
          <w:rPr>
            <w:rStyle w:val="Hyperlink"/>
            <w:rFonts w:ascii="Arial" w:hAnsi="Arial" w:cs="Arial"/>
            <w:color w:val="009ADB"/>
            <w:sz w:val="20"/>
            <w:szCs w:val="20"/>
          </w:rPr>
          <w:t>www.regiodata.eu</w:t>
        </w:r>
      </w:hyperlink>
      <w:r w:rsidR="009B115F">
        <w:rPr>
          <w:rStyle w:val="Hyperlink"/>
          <w:rFonts w:ascii="Arial" w:hAnsi="Arial" w:cs="Arial"/>
          <w:color w:val="009ADB"/>
          <w:sz w:val="20"/>
          <w:szCs w:val="20"/>
        </w:rPr>
        <w:t>.</w:t>
      </w:r>
      <w:bookmarkStart w:id="1" w:name="_GoBack"/>
      <w:bookmarkEnd w:id="1"/>
    </w:p>
    <w:p w14:paraId="7E4726E8" w14:textId="77777777" w:rsidR="00F47999" w:rsidRPr="00F6164D" w:rsidRDefault="00F47999" w:rsidP="00F4799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Press </w:t>
      </w:r>
      <w:proofErr w:type="spellStart"/>
      <w:r>
        <w:rPr>
          <w:rFonts w:ascii="Arial" w:hAnsi="Arial" w:cs="Arial"/>
          <w:b/>
          <w:sz w:val="20"/>
          <w:szCs w:val="20"/>
        </w:rPr>
        <w:t>contact</w:t>
      </w:r>
      <w:proofErr w:type="spellEnd"/>
      <w:r w:rsidRPr="00F6164D">
        <w:rPr>
          <w:rFonts w:ascii="Arial" w:hAnsi="Arial" w:cs="Arial"/>
          <w:sz w:val="20"/>
          <w:szCs w:val="20"/>
        </w:rPr>
        <w:t xml:space="preserve">: Amela Salihovic, </w:t>
      </w:r>
      <w:proofErr w:type="gramStart"/>
      <w:r w:rsidRPr="00F6164D">
        <w:rPr>
          <w:rFonts w:ascii="Arial" w:hAnsi="Arial" w:cs="Arial"/>
          <w:sz w:val="20"/>
          <w:szCs w:val="20"/>
        </w:rPr>
        <w:t>M.A.,</w:t>
      </w:r>
      <w:proofErr w:type="gramEnd"/>
      <w:r w:rsidRPr="00F6164D">
        <w:rPr>
          <w:rFonts w:ascii="Arial" w:hAnsi="Arial" w:cs="Arial"/>
          <w:sz w:val="20"/>
          <w:szCs w:val="20"/>
        </w:rPr>
        <w:t xml:space="preserve"> T +43 1 585 76 27-50, </w:t>
      </w:r>
      <w:hyperlink r:id="rId11" w:history="1">
        <w:r w:rsidRPr="00F6164D">
          <w:rPr>
            <w:rStyle w:val="Hyperlink"/>
            <w:rFonts w:ascii="Arial" w:hAnsi="Arial" w:cs="Arial"/>
            <w:color w:val="009ADB"/>
            <w:sz w:val="20"/>
            <w:szCs w:val="20"/>
          </w:rPr>
          <w:t>a.salihovic@regiodata.eu</w:t>
        </w:r>
      </w:hyperlink>
    </w:p>
    <w:p w14:paraId="0AAC8839" w14:textId="77777777" w:rsidR="00F47999" w:rsidRPr="00644633" w:rsidRDefault="00F47999" w:rsidP="00F47999">
      <w:pPr>
        <w:rPr>
          <w:rFonts w:ascii="Arial" w:hAnsi="Arial" w:cs="Arial"/>
        </w:rPr>
      </w:pPr>
      <w:r w:rsidRPr="00644633">
        <w:rPr>
          <w:rFonts w:ascii="Arial" w:hAnsi="Arial" w:cs="Arial"/>
        </w:rPr>
        <w:t xml:space="preserve"> </w:t>
      </w:r>
    </w:p>
    <w:p w14:paraId="17F2A297" w14:textId="77777777" w:rsidR="00F47999" w:rsidRPr="000D1CDA" w:rsidRDefault="00F47999" w:rsidP="00F47999">
      <w:pPr>
        <w:rPr>
          <w:rFonts w:ascii="Arial" w:hAnsi="Arial" w:cs="Arial"/>
          <w:b/>
        </w:rPr>
      </w:pPr>
      <w:r w:rsidRPr="00644633">
        <w:rPr>
          <w:rFonts w:ascii="Arial" w:hAnsi="Arial" w:cs="Arial"/>
          <w:b/>
        </w:rPr>
        <w:t>RegioData Research GmbH</w:t>
      </w:r>
    </w:p>
    <w:p w14:paraId="525430F4" w14:textId="77777777" w:rsidR="00F47999" w:rsidRDefault="00F47999" w:rsidP="00F47999">
      <w:pPr>
        <w:spacing w:line="360" w:lineRule="auto"/>
      </w:pPr>
      <w:r w:rsidRPr="000D1CDA">
        <w:rPr>
          <w:rFonts w:ascii="Arial" w:hAnsi="Arial" w:cs="Arial"/>
          <w:sz w:val="20"/>
          <w:szCs w:val="20"/>
        </w:rPr>
        <w:t xml:space="preserve">RegioData Research GmbH, </w:t>
      </w:r>
      <w:proofErr w:type="spellStart"/>
      <w:r w:rsidRPr="000D1CDA">
        <w:rPr>
          <w:rFonts w:ascii="Arial" w:hAnsi="Arial" w:cs="Arial"/>
          <w:sz w:val="20"/>
          <w:szCs w:val="20"/>
        </w:rPr>
        <w:t>headquartered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in Vienna </w:t>
      </w:r>
      <w:proofErr w:type="spellStart"/>
      <w:r w:rsidRPr="000D1CDA">
        <w:rPr>
          <w:rFonts w:ascii="Arial" w:hAnsi="Arial" w:cs="Arial"/>
          <w:sz w:val="20"/>
          <w:szCs w:val="20"/>
        </w:rPr>
        <w:t>and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Munich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1CDA">
        <w:rPr>
          <w:rFonts w:ascii="Arial" w:hAnsi="Arial" w:cs="Arial"/>
          <w:sz w:val="20"/>
          <w:szCs w:val="20"/>
        </w:rPr>
        <w:t>specializes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in regional </w:t>
      </w:r>
      <w:proofErr w:type="spellStart"/>
      <w:r w:rsidRPr="000D1CDA">
        <w:rPr>
          <w:rFonts w:ascii="Arial" w:hAnsi="Arial" w:cs="Arial"/>
          <w:sz w:val="20"/>
          <w:szCs w:val="20"/>
        </w:rPr>
        <w:t>economic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data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in Europe. </w:t>
      </w:r>
      <w:proofErr w:type="spellStart"/>
      <w:r w:rsidRPr="000D1CDA">
        <w:rPr>
          <w:rFonts w:ascii="Arial" w:hAnsi="Arial" w:cs="Arial"/>
          <w:sz w:val="20"/>
          <w:szCs w:val="20"/>
        </w:rPr>
        <w:t>For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over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0D1CDA">
        <w:rPr>
          <w:rFonts w:ascii="Arial" w:hAnsi="Arial" w:cs="Arial"/>
          <w:sz w:val="20"/>
          <w:szCs w:val="20"/>
        </w:rPr>
        <w:t>years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1CDA">
        <w:rPr>
          <w:rFonts w:ascii="Arial" w:hAnsi="Arial" w:cs="Arial"/>
          <w:sz w:val="20"/>
          <w:szCs w:val="20"/>
        </w:rPr>
        <w:t>we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have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been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dedicated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to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researching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1CDA">
        <w:rPr>
          <w:rFonts w:ascii="Arial" w:hAnsi="Arial" w:cs="Arial"/>
          <w:sz w:val="20"/>
          <w:szCs w:val="20"/>
        </w:rPr>
        <w:t>calculating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1CDA">
        <w:rPr>
          <w:rFonts w:ascii="Arial" w:hAnsi="Arial" w:cs="Arial"/>
          <w:sz w:val="20"/>
          <w:szCs w:val="20"/>
        </w:rPr>
        <w:t>and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analyzing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data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and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structures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in European </w:t>
      </w:r>
      <w:proofErr w:type="spellStart"/>
      <w:r w:rsidRPr="000D1CDA">
        <w:rPr>
          <w:rFonts w:ascii="Arial" w:hAnsi="Arial" w:cs="Arial"/>
          <w:sz w:val="20"/>
          <w:szCs w:val="20"/>
        </w:rPr>
        <w:t>consumer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and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real </w:t>
      </w:r>
      <w:proofErr w:type="spellStart"/>
      <w:r w:rsidRPr="000D1CDA">
        <w:rPr>
          <w:rFonts w:ascii="Arial" w:hAnsi="Arial" w:cs="Arial"/>
          <w:sz w:val="20"/>
          <w:szCs w:val="20"/>
        </w:rPr>
        <w:t>estate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markets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D1CDA">
        <w:rPr>
          <w:rFonts w:ascii="Arial" w:hAnsi="Arial" w:cs="Arial"/>
          <w:sz w:val="20"/>
          <w:szCs w:val="20"/>
        </w:rPr>
        <w:t>We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provide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well-</w:t>
      </w:r>
      <w:proofErr w:type="spellStart"/>
      <w:r w:rsidRPr="000D1CDA">
        <w:rPr>
          <w:rFonts w:ascii="Arial" w:hAnsi="Arial" w:cs="Arial"/>
          <w:sz w:val="20"/>
          <w:szCs w:val="20"/>
        </w:rPr>
        <w:t>founded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decision-making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foundations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for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companies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1CDA">
        <w:rPr>
          <w:rFonts w:ascii="Arial" w:hAnsi="Arial" w:cs="Arial"/>
          <w:sz w:val="20"/>
          <w:szCs w:val="20"/>
        </w:rPr>
        <w:t>the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retail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real </w:t>
      </w:r>
      <w:proofErr w:type="spellStart"/>
      <w:r w:rsidRPr="000D1CDA">
        <w:rPr>
          <w:rFonts w:ascii="Arial" w:hAnsi="Arial" w:cs="Arial"/>
          <w:sz w:val="20"/>
          <w:szCs w:val="20"/>
        </w:rPr>
        <w:t>estate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1CDA">
        <w:rPr>
          <w:rFonts w:ascii="Arial" w:hAnsi="Arial" w:cs="Arial"/>
          <w:sz w:val="20"/>
          <w:szCs w:val="20"/>
        </w:rPr>
        <w:t>and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financial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sectors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D1CDA">
        <w:rPr>
          <w:rFonts w:ascii="Arial" w:hAnsi="Arial" w:cs="Arial"/>
          <w:sz w:val="20"/>
          <w:szCs w:val="20"/>
        </w:rPr>
        <w:t>Up</w:t>
      </w:r>
      <w:proofErr w:type="spellEnd"/>
      <w:r w:rsidRPr="000D1CDA">
        <w:rPr>
          <w:rFonts w:ascii="Arial" w:hAnsi="Arial" w:cs="Arial"/>
          <w:sz w:val="20"/>
          <w:szCs w:val="20"/>
        </w:rPr>
        <w:t>-</w:t>
      </w:r>
      <w:proofErr w:type="spellStart"/>
      <w:r w:rsidRPr="000D1CDA">
        <w:rPr>
          <w:rFonts w:ascii="Arial" w:hAnsi="Arial" w:cs="Arial"/>
          <w:sz w:val="20"/>
          <w:szCs w:val="20"/>
        </w:rPr>
        <w:t>to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-date, </w:t>
      </w:r>
      <w:proofErr w:type="spellStart"/>
      <w:r w:rsidRPr="000D1CDA">
        <w:rPr>
          <w:rFonts w:ascii="Arial" w:hAnsi="Arial" w:cs="Arial"/>
          <w:sz w:val="20"/>
          <w:szCs w:val="20"/>
        </w:rPr>
        <w:t>clear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1CDA">
        <w:rPr>
          <w:rFonts w:ascii="Arial" w:hAnsi="Arial" w:cs="Arial"/>
          <w:sz w:val="20"/>
          <w:szCs w:val="20"/>
        </w:rPr>
        <w:t>and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reliable</w:t>
      </w:r>
      <w:proofErr w:type="spellEnd"/>
      <w:r w:rsidRPr="000D1CDA">
        <w:rPr>
          <w:rFonts w:ascii="Arial" w:hAnsi="Arial" w:cs="Arial"/>
          <w:sz w:val="20"/>
          <w:szCs w:val="20"/>
        </w:rPr>
        <w:t>.</w:t>
      </w:r>
    </w:p>
    <w:p w14:paraId="194B4E44" w14:textId="77777777" w:rsidR="0010083A" w:rsidRDefault="0010083A" w:rsidP="00F47999"/>
    <w:sectPr w:rsidR="0010083A" w:rsidSect="00F4799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383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AE6A4" w14:textId="77777777" w:rsidR="00D62EA1" w:rsidRDefault="00D62EA1" w:rsidP="0010083A">
      <w:pPr>
        <w:spacing w:after="0" w:line="240" w:lineRule="auto"/>
      </w:pPr>
      <w:r>
        <w:separator/>
      </w:r>
    </w:p>
  </w:endnote>
  <w:endnote w:type="continuationSeparator" w:id="0">
    <w:p w14:paraId="5BD9D7D3" w14:textId="77777777" w:rsidR="00D62EA1" w:rsidRDefault="00D62EA1" w:rsidP="0010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37BB" w14:textId="4AB71F89" w:rsidR="00467A85" w:rsidRPr="00282790" w:rsidRDefault="00F47999" w:rsidP="00282790">
    <w:pPr>
      <w:pStyle w:val="Fuzeile"/>
      <w:tabs>
        <w:tab w:val="clear" w:pos="4536"/>
        <w:tab w:val="clear" w:pos="9072"/>
        <w:tab w:val="right" w:pos="8505"/>
      </w:tabs>
      <w:ind w:left="-11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838B32D" wp14:editId="023E72E8">
              <wp:simplePos x="0" y="0"/>
              <wp:positionH relativeFrom="column">
                <wp:posOffset>-905790</wp:posOffset>
              </wp:positionH>
              <wp:positionV relativeFrom="paragraph">
                <wp:posOffset>-48862</wp:posOffset>
              </wp:positionV>
              <wp:extent cx="314259" cy="255319"/>
              <wp:effectExtent l="0" t="0" r="0" b="0"/>
              <wp:wrapNone/>
              <wp:docPr id="10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30884F" w14:textId="5BA1DA1B" w:rsidR="00F47999" w:rsidRPr="00F47999" w:rsidRDefault="00F47999" w:rsidP="0010083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71.3pt;margin-top:-3.85pt;width:24.75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nQMAIAAFgEAAAOAAAAZHJzL2Uyb0RvYy54bWysVE2P2jAQvVfqf7B8LyF8bAsirOiuqCqh&#10;3ZWg2rNxbBLJ9ri2IaG/vmOHsGjbU9WLGXsmb/zeG7O4b7UiJ+F8Daag+WBIiTAcytocCvpjt/70&#10;hRIfmCmZAiMKehae3i8/flg0di5GUIEqhSMIYvy8sQWtQrDzLPO8Epr5AVhhMCnBaRZw6w5Z6ViD&#10;6Fplo+HwLmvAldYBF97j6WOXpMuEL6Xg4VlKLwJRBcW7hbS6tO7jmi0XbH5wzFY1v1yD/cMtNKsN&#10;Nr1CPbLAyNHVf0DpmjvwIMOAg85AypqLxAHZ5MN3bLYVsyJxQXG8vcrk/x8sfzq9OFKX6B3KY5hG&#10;j3aiDVKokuRRnsb6OVZtLdaF9iu0WNqfezyMrFvpdPxFPgTziHS+iotghOPhOJ+MpjNKOKZG0+k4&#10;n0WU7O1j63z4JkCTGBTUoXdJUnba+NCV9iWxl4F1rVTyTxnSFPRuPB2mD64ZBFcGe0QK3VVjFNp9&#10;mxiPexp7KM/IzkE3Ht7ydY132DAfXpjDeUBCOOPhGRepAHvBJaKkAvfrb+exHm3CLCUNzldB/c8j&#10;c4IS9d2ggbN8MokDmTaT6ecRbtxtZn+bMUf9ADjCOb4my1MY64PqQ+lAv+JTWMWumGKGY++Chj58&#10;CN3U41PiYrVKRTiCloWN2VoeoaOqUeFd+8qcvdgQ0L8n6CeRzd+50dV2fqyOAWSdrIo6d6pe5Mfx&#10;TWZfnlp8H7f7VPX2h7D8DQAA//8DAFBLAwQUAAYACAAAACEAYEZw+OMAAAAKAQAADwAAAGRycy9k&#10;b3ducmV2LnhtbEyPy07DMBBF90j8gzVI7FInKX2lcaoqUoWE6KKlG3aT2E0i7HGI3Tbw9ZgV7GY0&#10;R3fOzTej0eyqBtdZEpBMYmCKais7agSc3nbREpjzSBK1JSXgSznYFPd3OWbS3uigrkffsBBCLkMB&#10;rfd9xrmrW2XQTWyvKNzOdjDowzo0XA54C+FG8zSO59xgR+FDi70qW1V/HC9GwEu52+OhSs3yW5fP&#10;r+dt/3l6nwnx+DBu18C8Gv0fDL/6QR2K4FTZC0nHtIAoeUrngQ3TYgEsENFqmgCrBEzTGfAi5/8r&#10;FD8AAAD//wMAUEsBAi0AFAAGAAgAAAAhALaDOJL+AAAA4QEAABMAAAAAAAAAAAAAAAAAAAAAAFtD&#10;b250ZW50X1R5cGVzXS54bWxQSwECLQAUAAYACAAAACEAOP0h/9YAAACUAQAACwAAAAAAAAAAAAAA&#10;AAAvAQAAX3JlbHMvLnJlbHNQSwECLQAUAAYACAAAACEAeZt50DACAABYBAAADgAAAAAAAAAAAAAA&#10;AAAuAgAAZHJzL2Uyb0RvYy54bWxQSwECLQAUAAYACAAAACEAYEZw+OMAAAAKAQAADwAAAAAAAAAA&#10;AAAAAACKBAAAZHJzL2Rvd25yZXYueG1sUEsFBgAAAAAEAAQA8wAAAJoFAAAAAA==&#10;" filled="f" stroked="f" strokeweight=".5pt">
              <v:textbox>
                <w:txbxContent>
                  <w:p w14:paraId="4D30884F" w14:textId="5BA1DA1B" w:rsidR="00F47999" w:rsidRPr="00F47999" w:rsidRDefault="00F47999" w:rsidP="0010083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CAF28B" wp14:editId="74C7842E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1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EA2905" w14:textId="77777777" w:rsidR="00F47999" w:rsidRDefault="00F47999" w:rsidP="00100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" o:spid="_x0000_s1027" style="position:absolute;left:0;text-align:left;margin-left:-71.4pt;margin-top:-6.65pt;width:24.75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3OnAIAAJgFAAAOAAAAZHJzL2Uyb0RvYy54bWysVEtP3DAQvlfqf7B8L3ns0pYVWbSFUlVC&#10;gAoVZ69jbyI5Htf2bnb76xnbSaCAeqh6STye9+dv5vRs3ymyE9a1oCtaHOWUCM2hbvWmoj/vLz98&#10;psR5pmumQIuKHoSjZ8v37057sxAlNKBqYQkG0W7Rm4o23ptFljneiI65IzBCo1KC7ZhH0W6y2rIe&#10;o3cqK/P8Y9aDrY0FLpzD24ukpMsYX0rB/Y2UTniiKoq1+fi18bsO32x5yhYby0zT8qEM9g9VdKzV&#10;mHQKdcE8I1vbvgrVtdyCA+mPOHQZSNlyEXvAbor8RTd3DTMi9oLgODPB5P5fWH69u7WkrfHtCko0&#10;6/CNvirVGidIEdDpjVug0Z25tYPk8Bha3UvbhT82QfYR0cOEqNh7wvFyVsxn5TElHFWzspgVEfHs&#10;ydlY578J6Eg4VFSk1BFKtrtyHnOi9WgV0jlQbX3ZKhUFu1mfK0t2LLxvfrK6+BKKRpc/zJQOxhqC&#10;W1KHmyz0lrqJJ39QItgp/UNIxATrL2MlkY1iysM4F9oXSdWwWqT0xXGej+1NHrGWGDBElph/ij0E&#10;CEx/HTtVOdgHVxHJPDnnfyssOU8eMTNoPzl3rQb7VgCFXQ2Zk/0IUoImoOT3633kSzmyYw31ATlk&#10;IQ2XM/yyxce8Ys7fMovThHOHG8Lf4Ecq6CsKw4mSBuzvt+6DPZIctZT0OJ0Vdb+2zApK1HeN9D8p&#10;5vMwzlGYH38qUbDPNevnGr3tzgEJggzH6uIx2Hs1HqWF7gEXySpkRRXTHHNXlHs7Cuc+bQ1cRVys&#10;VtEMR9gwf6XvDA/BA86Bqff7B2bNwGiPo3AN4ySzxQtWJ9vgqWG19SDbSPmAdMJ1eAEc/0ilYVWF&#10;/fJcjlZPC3X5CAAA//8DAFBLAwQUAAYACAAAACEAuFQLFd8AAAALAQAADwAAAGRycy9kb3ducmV2&#10;LnhtbEyPwU7DMBBE70j8g7VIXKrUaVMVmmZTVUgcEFxI+QA33iYR8Tqy3TT8Pc4JbrOa0czb4jCZ&#10;XozkfGcZYbVMQRDXVnfcIHydXpNnED4o1qq3TAg/5OFQ3t8VKtf2xp80VqERsYR9rhDaEIZcSl+3&#10;ZJRf2oE4ehfrjArxdI3UTt1iuenlOk230qiO40KrBnppqf6urgbB+WZrjptF5Rbd26l+/5DmYkfE&#10;x4fpuAcRaAp/YZjxIzqUkelsr6y96BGS1WYd2cOssgxEjCS7WZwRsqcMZFnI/z+UvwAAAP//AwBQ&#10;SwECLQAUAAYACAAAACEAtoM4kv4AAADhAQAAEwAAAAAAAAAAAAAAAAAAAAAAW0NvbnRlbnRfVHlw&#10;ZXNdLnhtbFBLAQItABQABgAIAAAAIQA4/SH/1gAAAJQBAAALAAAAAAAAAAAAAAAAAC8BAABfcmVs&#10;cy8ucmVsc1BLAQItABQABgAIAAAAIQAgLj3OnAIAAJgFAAAOAAAAAAAAAAAAAAAAAC4CAABkcnMv&#10;ZTJvRG9jLnhtbFBLAQItABQABgAIAAAAIQC4VAsV3wAAAAsBAAAPAAAAAAAAAAAAAAAAAPYEAABk&#10;cnMvZG93bnJldi54bWxQSwUGAAAAAAQABADzAAAAAgYAAAAA&#10;" fillcolor="#009adb" stroked="f" strokeweight="2pt">
              <v:textbox>
                <w:txbxContent>
                  <w:p w14:paraId="59EA2905" w14:textId="77777777" w:rsidR="00F47999" w:rsidRDefault="00F47999" w:rsidP="0010083A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 xml:space="preserve">RegioData Research </w:t>
    </w:r>
    <w:r>
      <w:rPr>
        <w:rFonts w:ascii="Arial" w:hAnsi="Arial" w:cs="Arial"/>
        <w:sz w:val="16"/>
        <w:szCs w:val="16"/>
      </w:rPr>
      <w:t xml:space="preserve">Analysis: </w:t>
    </w:r>
    <w:proofErr w:type="spellStart"/>
    <w:r>
      <w:rPr>
        <w:rFonts w:ascii="Arial" w:hAnsi="Arial" w:cs="Arial"/>
        <w:sz w:val="16"/>
        <w:szCs w:val="16"/>
      </w:rPr>
      <w:t>Purchasing</w:t>
    </w:r>
    <w:proofErr w:type="spellEnd"/>
    <w:r>
      <w:rPr>
        <w:rFonts w:ascii="Arial" w:hAnsi="Arial" w:cs="Arial"/>
        <w:sz w:val="16"/>
        <w:szCs w:val="16"/>
      </w:rPr>
      <w:t xml:space="preserve"> Power in Europe 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677AD" w14:textId="6E41AC8C" w:rsidR="00467A85" w:rsidRPr="00282790" w:rsidRDefault="00F47999" w:rsidP="00282790">
    <w:pPr>
      <w:pStyle w:val="Fuzeile"/>
      <w:tabs>
        <w:tab w:val="clear" w:pos="4536"/>
        <w:tab w:val="clear" w:pos="9072"/>
        <w:tab w:val="right" w:pos="8505"/>
      </w:tabs>
      <w:ind w:left="-11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4828295" wp14:editId="0DD869C5">
              <wp:simplePos x="0" y="0"/>
              <wp:positionH relativeFrom="column">
                <wp:posOffset>-905790</wp:posOffset>
              </wp:positionH>
              <wp:positionV relativeFrom="paragraph">
                <wp:posOffset>-48862</wp:posOffset>
              </wp:positionV>
              <wp:extent cx="314259" cy="255319"/>
              <wp:effectExtent l="0" t="0" r="0" b="0"/>
              <wp:wrapNone/>
              <wp:docPr id="1888699375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A21D99" w14:textId="08D426E7" w:rsidR="00F47999" w:rsidRPr="00F47999" w:rsidRDefault="00F47999" w:rsidP="0010083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1.3pt;margin-top:-3.85pt;width:24.75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XWOAIAAGAEAAAOAAAAZHJzL2Uyb0RvYy54bWysVFFv2jAQfp+0/2D5fYQAoRARKtaKaVLV&#10;VoKpz8axSSTH59mGhP36nR2gqNvTtBfn7Dvf+fu+uyzuu0aRo7CuBl3QdDCkRGgOZa33Bf2xXX+Z&#10;UeI80yVToEVBT8LR++XnT4vW5GIEFahSWIJJtMtbU9DKe5MnieOVaJgbgBEanRJswzxu7T4pLWsx&#10;e6OS0XA4TVqwpbHAhXN4+tg76TLml1Jw/yKlE56oguLbfFxtXHdhTZYLlu8tM1XNz89g//CKhtUa&#10;i15TPTLPyMHWf6Rqam7BgfQDDk0CUtZcRAyIJh1+QLOpmBERC5LjzJUm9//S8ufjqyV1idrNZrPp&#10;fD6+yyjRrEGttqLzUqiSpIGm1rgcozcG4333FTq8cjl3eBjQd9I24Yu4CPqR8NOVZExGOB6O08ko&#10;m1PC0TXKsnE6D1mS98vGOv9NQEOCUVCLGkZq2fHJ+T70EhJqaVjXSkUdlSZtQafjbBgvXD2YXGms&#10;ESD0Tw2W73ZdRJ5dYOygPCE6C32bOMPXNb7hiTn/yiz2BQLCXvcvuEgFWAvOFiUV2F9/Ow/xKBd6&#10;KWmxzwrqfh6YFZSo7xqFnKeTSWjMuJlkdyPc2FvP7tajD80DYCunOFWGRzPEe3UxpYXmDUdiFaqi&#10;i2mOtQvqL+aD77sfR4qL1SoGYSsa5p/0xvCQOrAaGN52b8yaswwe9XuGS0ey/IMafWyvx+rgQdZR&#10;qsBzz+qZfmzjKPZ55MKc3O5j1PuPYfkbAAD//wMAUEsDBBQABgAIAAAAIQBgRnD44wAAAAoBAAAP&#10;AAAAZHJzL2Rvd25yZXYueG1sTI/LTsMwEEX3SPyDNUjsUicpfaVxqipShYTooqUbdpPYTSLscYjd&#10;NvD1mBXsZjRHd87NN6PR7KoG11kSkExiYIpqKztqBJzedtESmPNIErUlJeBLOdgU93c5ZtLe6KCu&#10;R9+wEEIuQwGt933GuatbZdBNbK8o3M52MOjDOjRcDngL4UbzNI7n3GBH4UOLvSpbVX8cL0bAS7nb&#10;46FKzfJbl8+v523/eXqfCfH4MG7XwLwa/R8Mv/pBHYrgVNkLSce0gCh5SueBDdNiASwQ0WqaAKsE&#10;TNMZ8CLn/ysUPwAAAP//AwBQSwECLQAUAAYACAAAACEAtoM4kv4AAADhAQAAEwAAAAAAAAAAAAAA&#10;AAAAAAAAW0NvbnRlbnRfVHlwZXNdLnhtbFBLAQItABQABgAIAAAAIQA4/SH/1gAAAJQBAAALAAAA&#10;AAAAAAAAAAAAAC8BAABfcmVscy8ucmVsc1BLAQItABQABgAIAAAAIQApL7XWOAIAAGAEAAAOAAAA&#10;AAAAAAAAAAAAAC4CAABkcnMvZTJvRG9jLnhtbFBLAQItABQABgAIAAAAIQBgRnD44wAAAAoBAAAP&#10;AAAAAAAAAAAAAAAAAJIEAABkcnMvZG93bnJldi54bWxQSwUGAAAAAAQABADzAAAAogUAAAAA&#10;" filled="f" stroked="f" strokeweight=".5pt">
              <v:textbox>
                <w:txbxContent>
                  <w:p w14:paraId="59A21D99" w14:textId="08D426E7" w:rsidR="00F47999" w:rsidRPr="00F47999" w:rsidRDefault="00F47999" w:rsidP="0010083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25E63A9" wp14:editId="3A2233F8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1634194570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565AC3" w14:textId="77777777" w:rsidR="00F47999" w:rsidRDefault="00F47999" w:rsidP="00100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_x0000_s1029" style="position:absolute;left:0;text-align:left;margin-left:-71.4pt;margin-top:-6.65pt;width:24.75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KcowIAAKAFAAAOAAAAZHJzL2Uyb0RvYy54bWysVN9P2zAQfp+0/8Hy+0jSFjYqUtTBmCYh&#10;QIOJZ9exm0iOz7PdJt1fv7OdBAZoD9NeEp/v9+fv7uy8bxXZC+sa0CUtjnJKhOZQNXpb0h8PVx8+&#10;UeI80xVToEVJD8LR89X7d2edWYoZ1KAqYQkG0W7ZmZLW3ptlljlei5a5IzBCo1KCbZlH0W6zyrIO&#10;o7cqm+X5SdaBrYwFLpzD28ukpKsYX0rB/a2UTniiSoq1+fi18bsJ32x1xpZby0zd8KEM9g9VtKzR&#10;mHQKdck8IzvbvArVNtyCA+mPOLQZSNlwEXvAbor8RTf3NTMi9oLgODPB5P5fWH6zv7OkqfDtTuaL&#10;4nRx/BFh0qzFt/qiVGOcIEVAqTNuicb35s4OksNjaLmXtg1/bIb0EdnDhKzoPeF4OS8W89kxJRxV&#10;81kxLyLy2ZOzsc5/FdCScCipSKkjpGx/7TzmROvRKqRzoJrqqlEqCna7uVCW7Fl45/x0ffk5FI0u&#10;f5gpHYw1BLekDjdZ6C11E0/+oESwU/q7kIgN1j+LlURWiikP41xoXyRVzSqR0hfHeT62N3nEWmLA&#10;EFli/in2ECAw/nXsVOVgH1xFJPXknP+tsOQ8ecTMoP3k3DYa7FsBFHY1ZE72I0gJmoCS7zd95M1i&#10;ZMcGqgNyyUIaMmf4VYOPec2cv2MWpwqJhZvC3+JHKuhKCsOJkhrsr7fugz2SHbWUdDilJXU/d8wK&#10;StQ3jWNwWiwWYayjgNydoWCfazbPNXrXXgASpMCdZHg8BnuvxqO00D7iQlmHrKhimmPuknJvR+HC&#10;p+2BK4mL9Tqa4Sgb5q/1veEheMA5MPWhf2TWDIz2OAo3ME40W75gdbINnhrWOw+yiZQPSCdchxfA&#10;NRCpNKyssGeey9HqabGufgMAAP//AwBQSwMEFAAGAAgAAAAhALhUCxXfAAAACwEAAA8AAABkcnMv&#10;ZG93bnJldi54bWxMj8FOwzAQRO9I/IO1SFyq1GlTFZpmU1VIHBBcSPkAN94mEfE6st00/D3OCW6z&#10;mtHM2+IwmV6M5HxnGWG1TEEQ11Z33CB8nV6TZxA+KNaqt0wIP+ThUN7fFSrX9safNFahEbGEfa4Q&#10;2hCGXEpft2SUX9qBOHoX64wK8XSN1E7dYrnp5TpNt9KojuNCqwZ6aan+rq4Gwflma46bReUW3dup&#10;fv+Q5mJHxMeH6bgHEWgKf2GY8SM6lJHpbK+svegRktVmHdnDrLIMRIwku1mcEbKnDGRZyP8/lL8A&#10;AAD//wMAUEsBAi0AFAAGAAgAAAAhALaDOJL+AAAA4QEAABMAAAAAAAAAAAAAAAAAAAAAAFtDb250&#10;ZW50X1R5cGVzXS54bWxQSwECLQAUAAYACAAAACEAOP0h/9YAAACUAQAACwAAAAAAAAAAAAAAAAAv&#10;AQAAX3JlbHMvLnJlbHNQSwECLQAUAAYACAAAACEAwiVCnKMCAACgBQAADgAAAAAAAAAAAAAAAAAu&#10;AgAAZHJzL2Uyb0RvYy54bWxQSwECLQAUAAYACAAAACEAuFQLFd8AAAALAQAADwAAAAAAAAAAAAAA&#10;AAD9BAAAZHJzL2Rvd25yZXYueG1sUEsFBgAAAAAEAAQA8wAAAAkGAAAAAA==&#10;" fillcolor="#009adb" stroked="f" strokeweight="2pt">
              <v:textbox>
                <w:txbxContent>
                  <w:p w14:paraId="3B565AC3" w14:textId="77777777" w:rsidR="00F47999" w:rsidRDefault="00F47999" w:rsidP="0010083A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 xml:space="preserve">RegioData Research </w:t>
    </w:r>
    <w:r>
      <w:rPr>
        <w:rFonts w:ascii="Arial" w:hAnsi="Arial" w:cs="Arial"/>
        <w:sz w:val="16"/>
        <w:szCs w:val="16"/>
      </w:rPr>
      <w:t xml:space="preserve">Analysis: </w:t>
    </w:r>
    <w:proofErr w:type="spellStart"/>
    <w:r>
      <w:rPr>
        <w:rFonts w:ascii="Arial" w:hAnsi="Arial" w:cs="Arial"/>
        <w:sz w:val="16"/>
        <w:szCs w:val="16"/>
      </w:rPr>
      <w:t>Purchasing</w:t>
    </w:r>
    <w:proofErr w:type="spellEnd"/>
    <w:r>
      <w:rPr>
        <w:rFonts w:ascii="Arial" w:hAnsi="Arial" w:cs="Arial"/>
        <w:sz w:val="16"/>
        <w:szCs w:val="16"/>
      </w:rPr>
      <w:t xml:space="preserve"> Power in Europe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4B6A3" w14:textId="78F7F6A5" w:rsidR="00046AA4" w:rsidRPr="0010083A" w:rsidRDefault="00046AA4" w:rsidP="0010083A">
    <w:pPr>
      <w:pStyle w:val="Fuzeile"/>
      <w:tabs>
        <w:tab w:val="clear" w:pos="4536"/>
        <w:tab w:val="clear" w:pos="9072"/>
        <w:tab w:val="right" w:pos="8505"/>
      </w:tabs>
      <w:ind w:left="-11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DF553F" wp14:editId="3BD6170C">
              <wp:simplePos x="0" y="0"/>
              <wp:positionH relativeFrom="column">
                <wp:posOffset>-905790</wp:posOffset>
              </wp:positionH>
              <wp:positionV relativeFrom="paragraph">
                <wp:posOffset>-48862</wp:posOffset>
              </wp:positionV>
              <wp:extent cx="314259" cy="255319"/>
              <wp:effectExtent l="0" t="0" r="0" b="0"/>
              <wp:wrapNone/>
              <wp:docPr id="1038877107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9A9D1" w14:textId="699BFB3E" w:rsidR="00046AA4" w:rsidRPr="00F47999" w:rsidRDefault="00F47999" w:rsidP="0010083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71.3pt;margin-top:-3.85pt;width:24.7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M2OAIAAGAEAAAOAAAAZHJzL2Uyb0RvYy54bWysVE2P2jAQvVfqf7B8L0n4BhFWdFdUldDu&#10;SlDt2Tg2RHI8rm1I6K/v2CEs2vZU9eKMPeMZv/dmsnhoKkXOwroSdE6zXkqJ0ByKUh9y+mO3/jKl&#10;xHmmC6ZAi5xehKMPy8+fFrWZiz4cQRXCEkyi3bw2OT16b+ZJ4vhRVMz1wAiNTgm2Yh639pAUltWY&#10;vVJJP03HSQ22MBa4cA5Pn1onXcb8UgruX6R0whOVU3ybj6uN6z6syXLB5gfLzLHk12ewf3hFxUqN&#10;RW+pnphn5GTLP1JVJbfgQPoehyoBKUsuIgZEk6Uf0GyPzIiIBclx5kaT+39p+fP51ZKyQO3SwXQ6&#10;mWTphBLNKtRqJxovhSpIFmiqjZtj9NZgvG++QoNXunOHhwF9I20VvoiLoB8Jv9xIxmSE4+EgG/ZH&#10;M0o4uvqj0SCbhSzJ+2Vjnf8moCLByKlFDSO17Lxxvg3tQkItDetSqaij0qTO6XgwSuOFmweTK401&#10;AoT2qcHyzb6JyMcdjD0UF0RnoW0TZ/i6xDdsmPOvzGJfICDsdf+Ci1SAteBqUXIE++tv5yEe5UIv&#10;JTX2WU7dzxOzghL1XaOQs2w4DI0ZN8PRpI8be+/Z33v0qXoEbOUMp8rwaIZ4rzpTWqjecCRWoSq6&#10;mOZYO6e+Mx992/04UlysVjEIW9Ewv9Fbw0PqwGpgeNe8MWuuMnjU7xm6jmTzD2q0sa0eq5MHWUap&#10;As8tq1f6sY2j2NeRC3Nyv49R7z+G5W8AAAD//wMAUEsDBBQABgAIAAAAIQBgRnD44wAAAAoBAAAP&#10;AAAAZHJzL2Rvd25yZXYueG1sTI/LTsMwEEX3SPyDNUjsUicpfaVxqipShYTooqUbdpPYTSLscYjd&#10;NvD1mBXsZjRHd87NN6PR7KoG11kSkExiYIpqKztqBJzedtESmPNIErUlJeBLOdgU93c5ZtLe6KCu&#10;R9+wEEIuQwGt933GuatbZdBNbK8o3M52MOjDOjRcDngL4UbzNI7n3GBH4UOLvSpbVX8cL0bAS7nb&#10;46FKzfJbl8+v523/eXqfCfH4MG7XwLwa/R8Mv/pBHYrgVNkLSce0gCh5SueBDdNiASwQ0WqaAKsE&#10;TNMZ8CLn/ysUPwAAAP//AwBQSwECLQAUAAYACAAAACEAtoM4kv4AAADhAQAAEwAAAAAAAAAAAAAA&#10;AAAAAAAAW0NvbnRlbnRfVHlwZXNdLnhtbFBLAQItABQABgAIAAAAIQA4/SH/1gAAAJQBAAALAAAA&#10;AAAAAAAAAAAAAC8BAABfcmVscy8ucmVsc1BLAQItABQABgAIAAAAIQDDAaM2OAIAAGAEAAAOAAAA&#10;AAAAAAAAAAAAAC4CAABkcnMvZTJvRG9jLnhtbFBLAQItABQABgAIAAAAIQBgRnD44wAAAAoBAAAP&#10;AAAAAAAAAAAAAAAAAJIEAABkcnMvZG93bnJldi54bWxQSwUGAAAAAAQABADzAAAAogUAAAAA&#10;" filled="f" stroked="f" strokeweight=".5pt">
              <v:textbox>
                <w:txbxContent>
                  <w:p w14:paraId="2A69A9D1" w14:textId="699BFB3E" w:rsidR="00046AA4" w:rsidRPr="00F47999" w:rsidRDefault="00F47999" w:rsidP="0010083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3EF3F0" wp14:editId="4D210A17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705600862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4A8F4D" w14:textId="77777777" w:rsidR="00046AA4" w:rsidRDefault="00046AA4" w:rsidP="00100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_x0000_s1031" style="position:absolute;left:0;text-align:left;margin-left:-71.4pt;margin-top:-6.65pt;width:24.75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IqpQIAAJ8FAAAOAAAAZHJzL2Uyb0RvYy54bWysVEtv2zAMvg/YfxB0X/1I0kdQp8jadRhQ&#10;tMXaoWdFlmIBsqRJSuzs14+SbLdrix2GXWRRJD+Sn0meX/StRHtmndCqwsVRjhFTVNdCbSv84/H6&#10;0ylGzhNVE6kVq/CBOXyx+vjhvDNLVupGy5pZBCDKLTtT4cZ7s8wyRxvWEnekDVOg5Nq2xINot1lt&#10;SQforczKPD/OOm1rYzVlzsHrVVLiVcTnnFF/x7ljHskKQ24+njaem3Bmq3Oy3FpiGkGHNMg/ZNES&#10;oSDoBHVFPEE7K95AtYJa7TT3R1S3meZcUBZrgGqK/FU1Dw0xLNYC5Dgz0eT+Hyy93d9bJOoKn+SL&#10;4zw/PS4xUqSFX/VFSmEcQ0UgqTNuCbYP5t4OkoNrqLjntg1fqAX1kdjDRCzrPaLwOCvms3KBEQXV&#10;rCxmRSQ+e3Y21vmvTLcoXCrMUujIKNnfOA8xwXq0CuGclqK+FlJGwW43l9KiPQm/OT9bX30OSYPL&#10;H2ZSBWOlg1tSh5cs1JaqiTd/kCzYSfWdcaAG8i9jJrEp2RSHUMqUL5KqITVL4YtFno/lTR4xlwgY&#10;kDnEn7AHgNDwb7FTloN9cGWxpyfn/G+JJefJI0bWyk/OrVDavgcgoaohcrIfSUrUBJZ8v+lT24zd&#10;sdH1AVrJ6jRjztBrAT/zhjh/TywMFYwfLAp/BweXuquwHm4YNdr+eu892EOvgxajDoa0wu7njliG&#10;kfymYArOivk8THUU5ouTEgT7UrN5qVG79lJDgxSwkgyN12Dv5XjlVrdPsE/WISqoiKIQu8LU21G4&#10;9Gl5wEaibL2OZjDJhvgb9WBoAA88h0597J+INUNHexiFWz0ONFm+6upkGzyVXu+85iK2fGA68Tr8&#10;AdgCsZWGjRXWzEs5Wj3v1dVvAAAA//8DAFBLAwQUAAYACAAAACEAuFQLFd8AAAALAQAADwAAAGRy&#10;cy9kb3ducmV2LnhtbEyPwU7DMBBE70j8g7VIXKrUaVMVmmZTVUgcEFxI+QA33iYR8Tqy3TT8Pc4J&#10;brOa0czb4jCZXozkfGcZYbVMQRDXVnfcIHydXpNnED4o1qq3TAg/5OFQ3t8VKtf2xp80VqERsYR9&#10;rhDaEIZcSl+3ZJRf2oE4ehfrjArxdI3UTt1iuenlOk230qiO40KrBnppqf6urgbB+WZrjptF5Rbd&#10;26l+/5DmYkfEx4fpuAcRaAp/YZjxIzqUkelsr6y96BGS1WYd2cOssgxEjCS7WZwRsqcMZFnI/z+U&#10;vwAAAP//AwBQSwECLQAUAAYACAAAACEAtoM4kv4AAADhAQAAEwAAAAAAAAAAAAAAAAAAAAAAW0Nv&#10;bnRlbnRfVHlwZXNdLnhtbFBLAQItABQABgAIAAAAIQA4/SH/1gAAAJQBAAALAAAAAAAAAAAAAAAA&#10;AC8BAABfcmVscy8ucmVsc1BLAQItABQABgAIAAAAIQBCuXIqpQIAAJ8FAAAOAAAAAAAAAAAAAAAA&#10;AC4CAABkcnMvZTJvRG9jLnhtbFBLAQItABQABgAIAAAAIQC4VAsV3wAAAAsBAAAPAAAAAAAAAAAA&#10;AAAAAP8EAABkcnMvZG93bnJldi54bWxQSwUGAAAAAAQABADzAAAACwYAAAAA&#10;" fillcolor="#009adb" stroked="f" strokeweight="2pt">
              <v:textbox>
                <w:txbxContent>
                  <w:p w14:paraId="6A4A8F4D" w14:textId="77777777" w:rsidR="00046AA4" w:rsidRDefault="00046AA4" w:rsidP="0010083A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 xml:space="preserve">RegioData Research </w:t>
    </w:r>
    <w:r w:rsidR="00F47999">
      <w:rPr>
        <w:rFonts w:ascii="Arial" w:hAnsi="Arial" w:cs="Arial"/>
        <w:sz w:val="16"/>
        <w:szCs w:val="16"/>
      </w:rPr>
      <w:t>Analysis</w:t>
    </w:r>
    <w:r>
      <w:rPr>
        <w:rFonts w:ascii="Arial" w:hAnsi="Arial" w:cs="Arial"/>
        <w:sz w:val="16"/>
        <w:szCs w:val="16"/>
      </w:rPr>
      <w:t xml:space="preserve">: </w:t>
    </w:r>
    <w:proofErr w:type="spellStart"/>
    <w:r w:rsidR="00F47999">
      <w:rPr>
        <w:rFonts w:ascii="Arial" w:hAnsi="Arial" w:cs="Arial"/>
        <w:sz w:val="16"/>
        <w:szCs w:val="16"/>
      </w:rPr>
      <w:t>Purchasing</w:t>
    </w:r>
    <w:proofErr w:type="spellEnd"/>
    <w:r w:rsidR="00F47999">
      <w:rPr>
        <w:rFonts w:ascii="Arial" w:hAnsi="Arial" w:cs="Arial"/>
        <w:sz w:val="16"/>
        <w:szCs w:val="16"/>
      </w:rPr>
      <w:t xml:space="preserve"> Power in</w:t>
    </w:r>
    <w:r>
      <w:rPr>
        <w:rFonts w:ascii="Arial" w:hAnsi="Arial" w:cs="Arial"/>
        <w:sz w:val="16"/>
        <w:szCs w:val="16"/>
      </w:rPr>
      <w:t xml:space="preserve"> </w:t>
    </w:r>
    <w:r w:rsidR="00F47999">
      <w:rPr>
        <w:rFonts w:ascii="Arial" w:hAnsi="Arial" w:cs="Arial"/>
        <w:sz w:val="16"/>
        <w:szCs w:val="16"/>
      </w:rPr>
      <w:t xml:space="preserve">Europe </w:t>
    </w:r>
    <w:r>
      <w:rPr>
        <w:rFonts w:ascii="Arial" w:hAnsi="Arial" w:cs="Arial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C6C31" w14:textId="77777777" w:rsidR="00D62EA1" w:rsidRDefault="00D62EA1" w:rsidP="0010083A">
      <w:pPr>
        <w:spacing w:after="0" w:line="240" w:lineRule="auto"/>
      </w:pPr>
      <w:r>
        <w:separator/>
      </w:r>
    </w:p>
  </w:footnote>
  <w:footnote w:type="continuationSeparator" w:id="0">
    <w:p w14:paraId="32F67881" w14:textId="77777777" w:rsidR="00D62EA1" w:rsidRDefault="00D62EA1" w:rsidP="0010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F7D1" w14:textId="0CB5FC59" w:rsidR="00467A85" w:rsidRDefault="00F47999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82816" behindDoc="1" locked="0" layoutInCell="1" allowOverlap="1" wp14:anchorId="3C9E9150" wp14:editId="2A397FA2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9" name="Grafik 9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4A705" w14:textId="6B385069" w:rsidR="00467A85" w:rsidRDefault="00F47999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80768" behindDoc="1" locked="0" layoutInCell="1" allowOverlap="1" wp14:anchorId="6A71CE98" wp14:editId="2B0F8033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8" name="Grafik 8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C40"/>
    <w:multiLevelType w:val="hybridMultilevel"/>
    <w:tmpl w:val="6082B67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3A"/>
    <w:rsid w:val="000200FD"/>
    <w:rsid w:val="0004253B"/>
    <w:rsid w:val="00046AA4"/>
    <w:rsid w:val="000D1CDA"/>
    <w:rsid w:val="0010083A"/>
    <w:rsid w:val="00126A94"/>
    <w:rsid w:val="00133134"/>
    <w:rsid w:val="001344DD"/>
    <w:rsid w:val="001C1838"/>
    <w:rsid w:val="001C214A"/>
    <w:rsid w:val="001E0C76"/>
    <w:rsid w:val="0020350C"/>
    <w:rsid w:val="00206B6F"/>
    <w:rsid w:val="0021199D"/>
    <w:rsid w:val="002374B9"/>
    <w:rsid w:val="00282790"/>
    <w:rsid w:val="0030039A"/>
    <w:rsid w:val="00303905"/>
    <w:rsid w:val="003056A2"/>
    <w:rsid w:val="00315DCA"/>
    <w:rsid w:val="00391C95"/>
    <w:rsid w:val="00403D15"/>
    <w:rsid w:val="00417F7B"/>
    <w:rsid w:val="0045106A"/>
    <w:rsid w:val="00467A85"/>
    <w:rsid w:val="00510899"/>
    <w:rsid w:val="00514629"/>
    <w:rsid w:val="005530C2"/>
    <w:rsid w:val="00614A4A"/>
    <w:rsid w:val="00646970"/>
    <w:rsid w:val="00682B4B"/>
    <w:rsid w:val="00687EAA"/>
    <w:rsid w:val="006D2388"/>
    <w:rsid w:val="008274B8"/>
    <w:rsid w:val="00830417"/>
    <w:rsid w:val="00851F4A"/>
    <w:rsid w:val="00863201"/>
    <w:rsid w:val="00874251"/>
    <w:rsid w:val="008824F7"/>
    <w:rsid w:val="00940405"/>
    <w:rsid w:val="00975A4B"/>
    <w:rsid w:val="009B115F"/>
    <w:rsid w:val="009B5F53"/>
    <w:rsid w:val="00A168AF"/>
    <w:rsid w:val="00A1765D"/>
    <w:rsid w:val="00A4066A"/>
    <w:rsid w:val="00AF3BE5"/>
    <w:rsid w:val="00B0379E"/>
    <w:rsid w:val="00B36432"/>
    <w:rsid w:val="00B5008C"/>
    <w:rsid w:val="00B80269"/>
    <w:rsid w:val="00BE7FC2"/>
    <w:rsid w:val="00C17046"/>
    <w:rsid w:val="00C67444"/>
    <w:rsid w:val="00D07A76"/>
    <w:rsid w:val="00D62EA1"/>
    <w:rsid w:val="00DC6893"/>
    <w:rsid w:val="00E45990"/>
    <w:rsid w:val="00EC6240"/>
    <w:rsid w:val="00F47999"/>
    <w:rsid w:val="00F5719B"/>
    <w:rsid w:val="00F61FA4"/>
    <w:rsid w:val="00F819C8"/>
    <w:rsid w:val="00F84ED2"/>
    <w:rsid w:val="00FA023D"/>
    <w:rsid w:val="00FB3D13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E39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83A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8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8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83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08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83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8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8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8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8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083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83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083A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83A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83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83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83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83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008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0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08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08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008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0083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0083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0083A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08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083A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0083A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83A"/>
  </w:style>
  <w:style w:type="paragraph" w:styleId="Fuzeile">
    <w:name w:val="footer"/>
    <w:basedOn w:val="Standard"/>
    <w:link w:val="Fu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83A"/>
  </w:style>
  <w:style w:type="character" w:styleId="Hyperlink">
    <w:name w:val="Hyperlink"/>
    <w:basedOn w:val="Absatz-Standardschriftart"/>
    <w:uiPriority w:val="99"/>
    <w:unhideWhenUsed/>
    <w:rsid w:val="001008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F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1F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1F4A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F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F4A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629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83A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8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8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83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08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83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8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8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8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8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083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83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083A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83A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83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83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83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83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008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0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08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08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008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0083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0083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0083A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08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083A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0083A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83A"/>
  </w:style>
  <w:style w:type="paragraph" w:styleId="Fuzeile">
    <w:name w:val="footer"/>
    <w:basedOn w:val="Standard"/>
    <w:link w:val="Fu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83A"/>
  </w:style>
  <w:style w:type="character" w:styleId="Hyperlink">
    <w:name w:val="Hyperlink"/>
    <w:basedOn w:val="Absatz-Standardschriftart"/>
    <w:uiPriority w:val="99"/>
    <w:unhideWhenUsed/>
    <w:rsid w:val="001008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F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1F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1F4A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F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F4A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629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alihovic@regiodat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egiodat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alihovic@regiodata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CC76-E081-491A-8025-D1204C8E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55</cp:revision>
  <cp:lastPrinted>2024-01-23T10:45:00Z</cp:lastPrinted>
  <dcterms:created xsi:type="dcterms:W3CDTF">2024-01-22T08:35:00Z</dcterms:created>
  <dcterms:modified xsi:type="dcterms:W3CDTF">2024-01-23T10:54:00Z</dcterms:modified>
</cp:coreProperties>
</file>