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6D6ED" w14:textId="77777777" w:rsidR="0003725A" w:rsidRDefault="0003725A" w:rsidP="003C03ED">
      <w:pPr>
        <w:pStyle w:val="berschrift1"/>
      </w:pPr>
    </w:p>
    <w:p w14:paraId="09700922" w14:textId="77777777" w:rsidR="0003725A" w:rsidRPr="003B0D82" w:rsidRDefault="0003725A" w:rsidP="0003725A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F16748">
        <w:rPr>
          <w:rFonts w:ascii="Arial" w:hAnsi="Arial" w:cs="Arial"/>
          <w:bCs/>
          <w:color w:val="009ADB"/>
          <w:spacing w:val="10"/>
          <w:szCs w:val="20"/>
          <w:lang w:val="de-DE"/>
        </w:rPr>
        <w:t>PRESSEKONTAKT</w:t>
      </w:r>
      <w:r w:rsidRPr="003B0D82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 xml:space="preserve"> 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F16748">
        <w:rPr>
          <w:rFonts w:ascii="Arial" w:hAnsi="Arial" w:cs="Arial"/>
          <w:bCs/>
          <w:color w:val="009ADB"/>
          <w:spacing w:val="10"/>
          <w:szCs w:val="20"/>
          <w:lang w:val="de-DE"/>
        </w:rPr>
        <w:t>DATUM</w:t>
      </w:r>
      <w:r w:rsidRPr="003B0D82"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14:paraId="2A1B1852" w14:textId="38BB9FB4" w:rsidR="0003725A" w:rsidRPr="00373EFE" w:rsidRDefault="0003725A" w:rsidP="0003725A">
      <w:pPr>
        <w:rPr>
          <w:rFonts w:ascii="Arial" w:hAnsi="Arial" w:cs="Arial"/>
          <w:color w:val="525556"/>
          <w:sz w:val="20"/>
          <w:szCs w:val="20"/>
        </w:rPr>
      </w:pPr>
      <w:r w:rsidRPr="00373EFE">
        <w:rPr>
          <w:rFonts w:ascii="Arial" w:hAnsi="Arial" w:cs="Arial"/>
          <w:b/>
          <w:color w:val="525556"/>
          <w:sz w:val="20"/>
          <w:szCs w:val="20"/>
        </w:rPr>
        <w:t xml:space="preserve">RegioData Research GmbH </w:t>
      </w:r>
      <w:r w:rsidRPr="00373EFE">
        <w:rPr>
          <w:rFonts w:ascii="Arial" w:hAnsi="Arial" w:cs="Arial"/>
          <w:b/>
          <w:color w:val="525556"/>
          <w:sz w:val="20"/>
          <w:szCs w:val="20"/>
        </w:rPr>
        <w:tab/>
      </w:r>
      <w:r w:rsidRPr="00373EFE">
        <w:rPr>
          <w:rFonts w:ascii="Arial" w:hAnsi="Arial" w:cs="Arial"/>
          <w:b/>
          <w:color w:val="525556"/>
          <w:sz w:val="20"/>
          <w:szCs w:val="20"/>
        </w:rPr>
        <w:tab/>
      </w:r>
      <w:r w:rsidRPr="00373EFE">
        <w:rPr>
          <w:rFonts w:ascii="Arial" w:hAnsi="Arial" w:cs="Arial"/>
          <w:b/>
          <w:color w:val="525556"/>
          <w:sz w:val="20"/>
          <w:szCs w:val="20"/>
        </w:rPr>
        <w:tab/>
      </w:r>
      <w:r w:rsidRPr="00373EFE">
        <w:rPr>
          <w:rFonts w:ascii="Arial" w:hAnsi="Arial" w:cs="Arial"/>
          <w:b/>
          <w:color w:val="525556"/>
          <w:sz w:val="20"/>
          <w:szCs w:val="20"/>
        </w:rPr>
        <w:tab/>
      </w:r>
      <w:r w:rsidRPr="00373EFE">
        <w:rPr>
          <w:rFonts w:ascii="Arial" w:hAnsi="Arial" w:cs="Arial"/>
          <w:b/>
          <w:color w:val="525556"/>
          <w:sz w:val="20"/>
          <w:szCs w:val="20"/>
        </w:rPr>
        <w:tab/>
      </w:r>
      <w:r w:rsidRPr="00373EFE">
        <w:rPr>
          <w:rFonts w:ascii="Arial" w:hAnsi="Arial" w:cs="Arial"/>
          <w:b/>
          <w:color w:val="525556"/>
          <w:sz w:val="20"/>
          <w:szCs w:val="20"/>
        </w:rPr>
        <w:tab/>
      </w:r>
      <w:r w:rsidR="009066DF" w:rsidRPr="00373EFE">
        <w:rPr>
          <w:rFonts w:ascii="Arial" w:hAnsi="Arial" w:cs="Arial"/>
          <w:b/>
          <w:color w:val="525556"/>
          <w:sz w:val="20"/>
          <w:szCs w:val="20"/>
        </w:rPr>
        <w:t>0</w:t>
      </w:r>
      <w:r w:rsidR="00357B8D" w:rsidRPr="00373EFE">
        <w:rPr>
          <w:rFonts w:ascii="Arial" w:hAnsi="Arial" w:cs="Arial"/>
          <w:b/>
          <w:color w:val="525556"/>
          <w:sz w:val="20"/>
          <w:szCs w:val="20"/>
        </w:rPr>
        <w:t>8</w:t>
      </w:r>
      <w:r w:rsidR="009066DF" w:rsidRPr="00373EFE">
        <w:rPr>
          <w:rFonts w:ascii="Arial" w:hAnsi="Arial" w:cs="Arial"/>
          <w:b/>
          <w:color w:val="525556"/>
          <w:sz w:val="20"/>
          <w:szCs w:val="20"/>
        </w:rPr>
        <w:t xml:space="preserve">. November </w:t>
      </w:r>
      <w:r w:rsidR="002C1B70" w:rsidRPr="00373EFE">
        <w:rPr>
          <w:rFonts w:ascii="Arial" w:hAnsi="Arial" w:cs="Arial"/>
          <w:b/>
          <w:color w:val="525556"/>
          <w:sz w:val="20"/>
          <w:szCs w:val="20"/>
        </w:rPr>
        <w:t>2023</w:t>
      </w:r>
      <w:r w:rsidRPr="00373EFE">
        <w:rPr>
          <w:rFonts w:ascii="Arial" w:hAnsi="Arial" w:cs="Arial"/>
          <w:color w:val="525556"/>
          <w:sz w:val="20"/>
          <w:szCs w:val="20"/>
        </w:rPr>
        <w:br/>
        <w:t>Amela Salihovic, M.A.</w:t>
      </w:r>
      <w:r w:rsidRPr="00373EFE">
        <w:rPr>
          <w:rFonts w:ascii="Arial" w:hAnsi="Arial" w:cs="Arial"/>
          <w:color w:val="525556"/>
          <w:sz w:val="20"/>
          <w:szCs w:val="20"/>
        </w:rPr>
        <w:br/>
      </w:r>
      <w:proofErr w:type="spellStart"/>
      <w:r w:rsidRPr="00373EFE">
        <w:rPr>
          <w:rFonts w:ascii="Arial" w:hAnsi="Arial" w:cs="Arial"/>
          <w:color w:val="525556"/>
          <w:sz w:val="20"/>
          <w:szCs w:val="20"/>
        </w:rPr>
        <w:t>Theobaldgasse</w:t>
      </w:r>
      <w:proofErr w:type="spellEnd"/>
      <w:r w:rsidRPr="00373EFE">
        <w:rPr>
          <w:rFonts w:ascii="Arial" w:hAnsi="Arial" w:cs="Arial"/>
          <w:color w:val="525556"/>
          <w:sz w:val="20"/>
          <w:szCs w:val="20"/>
        </w:rPr>
        <w:t xml:space="preserve"> 8 | 1060 Wien</w:t>
      </w:r>
      <w:r w:rsidRPr="00373EFE">
        <w:rPr>
          <w:rFonts w:ascii="Arial" w:hAnsi="Arial" w:cs="Arial"/>
          <w:color w:val="525556"/>
          <w:sz w:val="20"/>
          <w:szCs w:val="20"/>
        </w:rPr>
        <w:br/>
        <w:t>+43 1 585 76 27-50</w:t>
      </w:r>
      <w:r w:rsidRPr="00373EFE">
        <w:rPr>
          <w:rFonts w:ascii="Arial" w:hAnsi="Arial" w:cs="Arial"/>
          <w:color w:val="525556"/>
          <w:sz w:val="20"/>
          <w:szCs w:val="20"/>
        </w:rPr>
        <w:br/>
      </w:r>
      <w:hyperlink r:id="rId8" w:history="1">
        <w:r w:rsidRPr="00373EFE">
          <w:rPr>
            <w:rFonts w:ascii="Arial" w:hAnsi="Arial" w:cs="Arial"/>
            <w:color w:val="525556"/>
            <w:sz w:val="20"/>
            <w:szCs w:val="20"/>
          </w:rPr>
          <w:t>a.salihovic@regiodata.eu</w:t>
        </w:r>
      </w:hyperlink>
      <w:r w:rsidRPr="00373EFE">
        <w:rPr>
          <w:rFonts w:ascii="Arial" w:hAnsi="Arial" w:cs="Arial"/>
          <w:color w:val="525556"/>
          <w:sz w:val="20"/>
          <w:szCs w:val="20"/>
        </w:rPr>
        <w:br/>
        <w:t>www.regiodata.eu</w:t>
      </w:r>
    </w:p>
    <w:p w14:paraId="6C80D9C1" w14:textId="77777777" w:rsidR="0003725A" w:rsidRPr="00373EFE" w:rsidRDefault="0003725A">
      <w:pPr>
        <w:rPr>
          <w:sz w:val="24"/>
          <w:szCs w:val="24"/>
        </w:rPr>
      </w:pPr>
    </w:p>
    <w:p w14:paraId="262EA465" w14:textId="77777777" w:rsidR="009719D4" w:rsidRPr="00C1317C" w:rsidRDefault="00442845" w:rsidP="00CA17D0">
      <w:pPr>
        <w:spacing w:line="360" w:lineRule="auto"/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</w:pPr>
      <w:r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 xml:space="preserve">DIE </w:t>
      </w:r>
      <w:r w:rsidR="00A11107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ANDERE</w:t>
      </w:r>
      <w:r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 xml:space="preserve"> </w:t>
      </w:r>
      <w:r w:rsidR="00C1317C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DIMENSION</w:t>
      </w:r>
      <w:r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 xml:space="preserve"> DER ERNÄHRUNG</w:t>
      </w:r>
      <w:r w:rsidR="00A11107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:</w:t>
      </w:r>
      <w:r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 xml:space="preserve"> </w:t>
      </w:r>
      <w:r w:rsidR="00C1317C" w:rsidRPr="00C1317C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 xml:space="preserve">ÖSTERREICHER </w:t>
      </w:r>
      <w:r w:rsidR="00142BFD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VERÄ</w:t>
      </w:r>
      <w:r w:rsidR="00142BFD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N</w:t>
      </w:r>
      <w:r w:rsidR="00142BFD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DERN IHR AUSGABEVERHALTEN</w:t>
      </w:r>
    </w:p>
    <w:p w14:paraId="66658417" w14:textId="77777777" w:rsidR="001F4744" w:rsidRPr="009719D4" w:rsidRDefault="00A11107" w:rsidP="00217817">
      <w:pPr>
        <w:spacing w:line="360" w:lineRule="auto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Die aktuelle Analyse von RegioData Research zeigt eine deutliche Verschiebung der Ausgaben für Ernährung:</w:t>
      </w:r>
      <w:r w:rsidR="001B2E2D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144DFB" w:rsidRPr="00144DFB">
        <w:rPr>
          <w:rFonts w:ascii="Arial" w:hAnsi="Arial" w:cs="Arial"/>
          <w:b/>
          <w:bCs/>
          <w:sz w:val="20"/>
          <w:szCs w:val="20"/>
          <w:lang w:val="de-DE"/>
        </w:rPr>
        <w:t xml:space="preserve">Immer </w:t>
      </w:r>
      <w:r w:rsidR="00217817">
        <w:rPr>
          <w:rFonts w:ascii="Arial" w:hAnsi="Arial" w:cs="Arial"/>
          <w:b/>
          <w:bCs/>
          <w:sz w:val="20"/>
          <w:szCs w:val="20"/>
          <w:lang w:val="de-DE"/>
        </w:rPr>
        <w:t xml:space="preserve">höhere Anteile </w:t>
      </w:r>
      <w:r w:rsidR="00144DFB" w:rsidRPr="00144DFB">
        <w:rPr>
          <w:rFonts w:ascii="Arial" w:hAnsi="Arial" w:cs="Arial"/>
          <w:b/>
          <w:bCs/>
          <w:sz w:val="20"/>
          <w:szCs w:val="20"/>
          <w:lang w:val="de-DE"/>
        </w:rPr>
        <w:t>fließ</w:t>
      </w:r>
      <w:r w:rsidR="00217817">
        <w:rPr>
          <w:rFonts w:ascii="Arial" w:hAnsi="Arial" w:cs="Arial"/>
          <w:b/>
          <w:bCs/>
          <w:sz w:val="20"/>
          <w:szCs w:val="20"/>
          <w:lang w:val="de-DE"/>
        </w:rPr>
        <w:t>en</w:t>
      </w:r>
      <w:r w:rsidR="00144DFB" w:rsidRPr="00144DFB">
        <w:rPr>
          <w:rFonts w:ascii="Arial" w:hAnsi="Arial" w:cs="Arial"/>
          <w:b/>
          <w:bCs/>
          <w:sz w:val="20"/>
          <w:szCs w:val="20"/>
          <w:lang w:val="de-DE"/>
        </w:rPr>
        <w:t xml:space="preserve"> in die Gastronomie statt in den Einzelhandel.</w:t>
      </w:r>
      <w:r w:rsidR="00B84322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Und wenn schon Einzelhandel, dann </w:t>
      </w:r>
      <w:r w:rsidR="00217817">
        <w:rPr>
          <w:rFonts w:ascii="Arial" w:hAnsi="Arial" w:cs="Arial"/>
          <w:b/>
          <w:bCs/>
          <w:sz w:val="20"/>
          <w:szCs w:val="20"/>
          <w:lang w:val="de-DE"/>
        </w:rPr>
        <w:t xml:space="preserve">entweder 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sehr hochwertig und 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bio</w:t>
      </w:r>
      <w:proofErr w:type="spell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 oder eben ganz billig.</w:t>
      </w:r>
    </w:p>
    <w:p w14:paraId="5F89588B" w14:textId="77777777" w:rsidR="00886C92" w:rsidRDefault="00886C92" w:rsidP="000372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3316C5CE" w14:textId="77777777" w:rsidR="00CA5970" w:rsidRPr="00074538" w:rsidRDefault="00074538" w:rsidP="00074538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074538">
        <w:rPr>
          <w:rFonts w:ascii="Arial" w:hAnsi="Arial" w:cs="Arial"/>
          <w:bCs/>
          <w:noProof/>
          <w:spacing w:val="10"/>
          <w:sz w:val="24"/>
          <w:szCs w:val="20"/>
          <w:lang w:eastAsia="de-AT"/>
        </w:rPr>
        <w:drawing>
          <wp:inline distT="0" distB="0" distL="0" distR="0" wp14:anchorId="4E7C0487" wp14:editId="06C686F0">
            <wp:extent cx="5760720" cy="3238644"/>
            <wp:effectExtent l="19050" t="19050" r="11430" b="190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AF4C9A" w14:textId="77777777" w:rsidR="00CA5970" w:rsidRDefault="00CA5970" w:rsidP="00CA597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F1A5E79" w14:textId="77777777" w:rsidR="00AB596C" w:rsidRPr="00820D5C" w:rsidRDefault="00820D5C" w:rsidP="0003725A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820D5C">
        <w:rPr>
          <w:rFonts w:ascii="Arial" w:hAnsi="Arial" w:cs="Arial"/>
          <w:sz w:val="20"/>
          <w:szCs w:val="24"/>
        </w:rPr>
        <w:t xml:space="preserve">Während vor 10 Jahren lediglich 29 % der Ernährungsausgaben in der Gastronomie getätigt wurden, sind es aktuell bereits über 36 % - Tendenz </w:t>
      </w:r>
      <w:r>
        <w:rPr>
          <w:rFonts w:ascii="Arial" w:hAnsi="Arial" w:cs="Arial"/>
          <w:sz w:val="20"/>
          <w:szCs w:val="24"/>
        </w:rPr>
        <w:t xml:space="preserve">stark </w:t>
      </w:r>
      <w:r w:rsidRPr="00820D5C">
        <w:rPr>
          <w:rFonts w:ascii="Arial" w:hAnsi="Arial" w:cs="Arial"/>
          <w:sz w:val="20"/>
          <w:szCs w:val="24"/>
        </w:rPr>
        <w:t>steigend.</w:t>
      </w:r>
      <w:r>
        <w:rPr>
          <w:rFonts w:ascii="Arial" w:hAnsi="Arial" w:cs="Arial"/>
          <w:sz w:val="20"/>
          <w:szCs w:val="24"/>
        </w:rPr>
        <w:t xml:space="preserve"> Die Gründe liegen wohl im veränderten Konsumverhalten insbesondere der jüngeren Zielgruppen: Gastronomiebesuche haben in den letzten Jahren, völlig unabhängig von Corona, an Bedeutung gewonnen.</w:t>
      </w:r>
    </w:p>
    <w:p w14:paraId="11A74072" w14:textId="77777777" w:rsidR="00820D5C" w:rsidRPr="00820D5C" w:rsidRDefault="00820D5C" w:rsidP="0003725A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58600BE3" w14:textId="77777777" w:rsidR="006A72B5" w:rsidRDefault="0041248D" w:rsidP="0003725A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41248D">
        <w:rPr>
          <w:rFonts w:ascii="Arial" w:hAnsi="Arial" w:cs="Arial"/>
          <w:bCs/>
          <w:spacing w:val="10"/>
          <w:sz w:val="24"/>
          <w:szCs w:val="20"/>
          <w:lang w:val="de-DE"/>
        </w:rPr>
        <w:lastRenderedPageBreak/>
        <w:t xml:space="preserve">Österreicher erhöhen ihre Ausgaben </w:t>
      </w:r>
      <w:r w:rsidR="00820D5C">
        <w:rPr>
          <w:rFonts w:ascii="Arial" w:hAnsi="Arial" w:cs="Arial"/>
          <w:bCs/>
          <w:spacing w:val="10"/>
          <w:sz w:val="24"/>
          <w:szCs w:val="20"/>
          <w:lang w:val="de-DE"/>
        </w:rPr>
        <w:t>auch für</w:t>
      </w:r>
      <w:r w:rsidRPr="0041248D"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 Lebensmittel</w:t>
      </w:r>
      <w:r w:rsidR="00820D5C"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 massiv</w:t>
      </w:r>
    </w:p>
    <w:p w14:paraId="77B4DF53" w14:textId="49900B37" w:rsidR="008A6BBD" w:rsidRDefault="0041248D" w:rsidP="00FC2D2B">
      <w:pPr>
        <w:pStyle w:val="Quelle"/>
        <w:spacing w:before="0" w:after="0" w:line="360" w:lineRule="auto"/>
        <w:jc w:val="both"/>
        <w:rPr>
          <w:rFonts w:ascii="Arial" w:eastAsiaTheme="minorHAnsi" w:hAnsi="Arial" w:cs="Arial"/>
          <w:szCs w:val="24"/>
          <w:lang w:val="de-AT" w:eastAsia="en-US"/>
        </w:rPr>
      </w:pPr>
      <w:r w:rsidRPr="0041248D">
        <w:rPr>
          <w:rFonts w:ascii="Arial" w:eastAsiaTheme="minorHAnsi" w:hAnsi="Arial" w:cs="Arial"/>
          <w:szCs w:val="24"/>
          <w:lang w:val="de-AT" w:eastAsia="en-US"/>
        </w:rPr>
        <w:t>Im Jahr 2022 verfügte der durchschnittliche Österreicher über ein Einkommen</w:t>
      </w:r>
      <w:r w:rsidR="00217817">
        <w:rPr>
          <w:rStyle w:val="Funotenzeichen"/>
          <w:rFonts w:ascii="Arial" w:eastAsiaTheme="minorHAnsi" w:hAnsi="Arial" w:cs="Arial"/>
          <w:szCs w:val="24"/>
          <w:lang w:val="de-AT" w:eastAsia="en-US"/>
        </w:rPr>
        <w:footnoteReference w:id="1"/>
      </w:r>
      <w:r w:rsidRPr="0041248D">
        <w:rPr>
          <w:rFonts w:ascii="Arial" w:eastAsiaTheme="minorHAnsi" w:hAnsi="Arial" w:cs="Arial"/>
          <w:szCs w:val="24"/>
          <w:lang w:val="de-AT" w:eastAsia="en-US"/>
        </w:rPr>
        <w:t xml:space="preserve"> von </w:t>
      </w:r>
      <w:r>
        <w:rPr>
          <w:rFonts w:ascii="Arial" w:eastAsiaTheme="minorHAnsi" w:hAnsi="Arial" w:cs="Arial"/>
          <w:szCs w:val="24"/>
          <w:lang w:val="de-AT" w:eastAsia="en-US"/>
        </w:rPr>
        <w:t>etwa</w:t>
      </w:r>
      <w:r w:rsidRPr="0041248D">
        <w:rPr>
          <w:rFonts w:ascii="Arial" w:eastAsiaTheme="minorHAnsi" w:hAnsi="Arial" w:cs="Arial"/>
          <w:szCs w:val="24"/>
          <w:lang w:val="de-AT" w:eastAsia="en-US"/>
        </w:rPr>
        <w:t xml:space="preserve"> € 25.</w:t>
      </w:r>
      <w:r>
        <w:rPr>
          <w:rFonts w:ascii="Arial" w:eastAsiaTheme="minorHAnsi" w:hAnsi="Arial" w:cs="Arial"/>
          <w:szCs w:val="24"/>
          <w:lang w:val="de-AT" w:eastAsia="en-US"/>
        </w:rPr>
        <w:t>000</w:t>
      </w:r>
      <w:r w:rsidRPr="0041248D">
        <w:rPr>
          <w:rFonts w:ascii="Arial" w:eastAsiaTheme="minorHAnsi" w:hAnsi="Arial" w:cs="Arial"/>
          <w:szCs w:val="24"/>
          <w:lang w:val="de-AT" w:eastAsia="en-US"/>
        </w:rPr>
        <w:t xml:space="preserve">. </w:t>
      </w:r>
      <w:r w:rsidR="00965D33">
        <w:rPr>
          <w:rFonts w:ascii="Arial" w:eastAsiaTheme="minorHAnsi" w:hAnsi="Arial" w:cs="Arial"/>
          <w:szCs w:val="24"/>
          <w:lang w:val="de-AT" w:eastAsia="en-US"/>
        </w:rPr>
        <w:t xml:space="preserve">Davon </w:t>
      </w:r>
      <w:r w:rsidR="00F15CA0">
        <w:rPr>
          <w:rFonts w:ascii="Arial" w:eastAsiaTheme="minorHAnsi" w:hAnsi="Arial" w:cs="Arial"/>
          <w:szCs w:val="24"/>
          <w:lang w:val="de-AT" w:eastAsia="en-US"/>
        </w:rPr>
        <w:t>wurde</w:t>
      </w:r>
      <w:r w:rsidR="00965D33">
        <w:rPr>
          <w:rFonts w:ascii="Arial" w:eastAsiaTheme="minorHAnsi" w:hAnsi="Arial" w:cs="Arial"/>
          <w:szCs w:val="24"/>
          <w:lang w:val="de-AT" w:eastAsia="en-US"/>
        </w:rPr>
        <w:t xml:space="preserve"> mit</w:t>
      </w:r>
      <w:r w:rsidR="00B73774">
        <w:rPr>
          <w:rFonts w:ascii="Arial" w:eastAsiaTheme="minorHAnsi" w:hAnsi="Arial" w:cs="Arial"/>
          <w:szCs w:val="24"/>
          <w:lang w:val="de-AT" w:eastAsia="en-US"/>
        </w:rPr>
        <w:t xml:space="preserve"> rund </w:t>
      </w:r>
      <w:r w:rsidR="00965D33">
        <w:rPr>
          <w:rFonts w:ascii="Arial" w:eastAsiaTheme="minorHAnsi" w:hAnsi="Arial" w:cs="Arial"/>
          <w:szCs w:val="24"/>
          <w:lang w:val="de-AT" w:eastAsia="en-US"/>
        </w:rPr>
        <w:t xml:space="preserve">€ </w:t>
      </w:r>
      <w:r w:rsidR="00B73774">
        <w:rPr>
          <w:rFonts w:ascii="Arial" w:eastAsiaTheme="minorHAnsi" w:hAnsi="Arial" w:cs="Arial"/>
          <w:szCs w:val="24"/>
          <w:lang w:val="de-AT" w:eastAsia="en-US"/>
        </w:rPr>
        <w:t>4.600</w:t>
      </w:r>
      <w:r w:rsidR="00965D33">
        <w:rPr>
          <w:rFonts w:ascii="Arial" w:eastAsiaTheme="minorHAnsi" w:hAnsi="Arial" w:cs="Arial"/>
          <w:szCs w:val="24"/>
          <w:lang w:val="de-AT" w:eastAsia="en-US"/>
        </w:rPr>
        <w:t xml:space="preserve"> am meisten in die Ernährung investiert.</w:t>
      </w:r>
      <w:r w:rsidR="00B73774">
        <w:rPr>
          <w:rFonts w:ascii="Arial" w:eastAsiaTheme="minorHAnsi" w:hAnsi="Arial" w:cs="Arial"/>
          <w:szCs w:val="24"/>
          <w:lang w:val="de-AT" w:eastAsia="en-US"/>
        </w:rPr>
        <w:t xml:space="preserve"> </w:t>
      </w:r>
      <w:r w:rsidR="00F15CA0">
        <w:rPr>
          <w:rFonts w:ascii="Arial" w:eastAsiaTheme="minorHAnsi" w:hAnsi="Arial" w:cs="Arial"/>
          <w:szCs w:val="24"/>
          <w:lang w:val="de-AT" w:eastAsia="en-US"/>
        </w:rPr>
        <w:t>Blickt man 10 Jahre zurück</w:t>
      </w:r>
      <w:r w:rsidR="00A11107">
        <w:rPr>
          <w:rFonts w:ascii="Arial" w:eastAsiaTheme="minorHAnsi" w:hAnsi="Arial" w:cs="Arial"/>
          <w:szCs w:val="24"/>
          <w:lang w:val="de-AT" w:eastAsia="en-US"/>
        </w:rPr>
        <w:t xml:space="preserve">, </w:t>
      </w:r>
      <w:r w:rsidR="00F15CA0">
        <w:rPr>
          <w:rFonts w:ascii="Arial" w:eastAsiaTheme="minorHAnsi" w:hAnsi="Arial" w:cs="Arial"/>
          <w:szCs w:val="24"/>
          <w:lang w:val="de-AT" w:eastAsia="en-US"/>
        </w:rPr>
        <w:t>wur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den </w:t>
      </w:r>
      <w:r w:rsidR="001B2E2D">
        <w:rPr>
          <w:rFonts w:ascii="Arial" w:eastAsiaTheme="minorHAnsi" w:hAnsi="Arial" w:cs="Arial"/>
          <w:szCs w:val="24"/>
          <w:lang w:val="de-AT" w:eastAsia="en-US"/>
        </w:rPr>
        <w:t>etwa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 </w:t>
      </w:r>
      <w:r w:rsidR="00373EFE">
        <w:rPr>
          <w:rFonts w:ascii="Arial" w:eastAsiaTheme="minorHAnsi" w:hAnsi="Arial" w:cs="Arial"/>
          <w:szCs w:val="24"/>
          <w:lang w:val="de-AT" w:eastAsia="en-US"/>
        </w:rPr>
        <w:t>€ 1.400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 weniger für die Ernährung ausge</w:t>
      </w:r>
      <w:r w:rsidR="00F15CA0">
        <w:rPr>
          <w:rFonts w:ascii="Arial" w:eastAsiaTheme="minorHAnsi" w:hAnsi="Arial" w:cs="Arial"/>
          <w:szCs w:val="24"/>
          <w:lang w:val="de-AT" w:eastAsia="en-US"/>
        </w:rPr>
        <w:t>ge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ben, was einem  Anstieg von </w:t>
      </w:r>
      <w:r w:rsidR="00A11107">
        <w:rPr>
          <w:rFonts w:ascii="Arial" w:eastAsiaTheme="minorHAnsi" w:hAnsi="Arial" w:cs="Arial"/>
          <w:szCs w:val="24"/>
          <w:lang w:val="de-AT" w:eastAsia="en-US"/>
        </w:rPr>
        <w:t xml:space="preserve">insgesamt 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44 % </w:t>
      </w:r>
      <w:r w:rsidR="00965D33">
        <w:rPr>
          <w:rFonts w:ascii="Arial" w:eastAsiaTheme="minorHAnsi" w:hAnsi="Arial" w:cs="Arial"/>
          <w:szCs w:val="24"/>
          <w:lang w:val="de-AT" w:eastAsia="en-US"/>
        </w:rPr>
        <w:t xml:space="preserve">im Vergleich zu 2012 entspricht. </w:t>
      </w:r>
      <w:r w:rsidR="00FC2D2B">
        <w:rPr>
          <w:rFonts w:ascii="Arial" w:eastAsiaTheme="minorHAnsi" w:hAnsi="Arial" w:cs="Arial"/>
          <w:szCs w:val="24"/>
          <w:lang w:val="de-AT" w:eastAsia="en-US"/>
        </w:rPr>
        <w:t>Die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 Zunahme der Ausgaben im Lebensmittelsektor lässt sich </w:t>
      </w:r>
      <w:r w:rsidR="00A11107">
        <w:rPr>
          <w:rFonts w:ascii="Arial" w:eastAsiaTheme="minorHAnsi" w:hAnsi="Arial" w:cs="Arial"/>
          <w:szCs w:val="24"/>
          <w:lang w:val="de-AT" w:eastAsia="en-US"/>
        </w:rPr>
        <w:t>ke</w:t>
      </w:r>
      <w:r w:rsidR="00A11107">
        <w:rPr>
          <w:rFonts w:ascii="Arial" w:eastAsiaTheme="minorHAnsi" w:hAnsi="Arial" w:cs="Arial"/>
          <w:szCs w:val="24"/>
          <w:lang w:val="de-AT" w:eastAsia="en-US"/>
        </w:rPr>
        <w:t>i</w:t>
      </w:r>
      <w:r w:rsidR="00A11107">
        <w:rPr>
          <w:rFonts w:ascii="Arial" w:eastAsiaTheme="minorHAnsi" w:hAnsi="Arial" w:cs="Arial"/>
          <w:szCs w:val="24"/>
          <w:lang w:val="de-AT" w:eastAsia="en-US"/>
        </w:rPr>
        <w:t>nesfalls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 allein durch die generelle Preissteigerung </w:t>
      </w:r>
      <w:r w:rsidR="008A6BBD">
        <w:rPr>
          <w:rFonts w:ascii="Arial" w:eastAsiaTheme="minorHAnsi" w:hAnsi="Arial" w:cs="Arial"/>
          <w:szCs w:val="24"/>
          <w:lang w:val="de-AT" w:eastAsia="en-US"/>
        </w:rPr>
        <w:t>seitens der Lebensmittelkonzerne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 erklären. Vie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>l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mehr spiegeln sie die veränderten </w:t>
      </w:r>
      <w:r w:rsidR="00354C8D">
        <w:rPr>
          <w:rFonts w:ascii="Arial" w:eastAsiaTheme="minorHAnsi" w:hAnsi="Arial" w:cs="Arial"/>
          <w:szCs w:val="24"/>
          <w:lang w:val="de-AT" w:eastAsia="en-US"/>
        </w:rPr>
        <w:t>Vorlieben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 der Verbraucher wider. </w:t>
      </w:r>
      <w:r w:rsidR="00354C8D">
        <w:rPr>
          <w:rFonts w:ascii="Arial" w:eastAsiaTheme="minorHAnsi" w:hAnsi="Arial" w:cs="Arial"/>
          <w:szCs w:val="24"/>
          <w:lang w:val="de-AT" w:eastAsia="en-US"/>
        </w:rPr>
        <w:t>Inzwischen</w:t>
      </w:r>
      <w:r w:rsidR="0091751E">
        <w:rPr>
          <w:rFonts w:ascii="Arial" w:eastAsiaTheme="minorHAnsi" w:hAnsi="Arial" w:cs="Arial"/>
          <w:szCs w:val="24"/>
          <w:lang w:val="de-AT" w:eastAsia="en-US"/>
        </w:rPr>
        <w:t xml:space="preserve"> legen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 die Menschen </w:t>
      </w:r>
      <w:r w:rsidR="008A6BBD">
        <w:rPr>
          <w:rFonts w:ascii="Arial" w:eastAsiaTheme="minorHAnsi" w:hAnsi="Arial" w:cs="Arial"/>
          <w:szCs w:val="24"/>
          <w:lang w:val="de-AT" w:eastAsia="en-US"/>
        </w:rPr>
        <w:t>zunehmend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 Wert auf Qualität, biologische und regionale </w:t>
      </w:r>
      <w:bookmarkStart w:id="0" w:name="_GoBack"/>
      <w:bookmarkEnd w:id="0"/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Produkte sowie das Wohlergehen der Tiere. </w:t>
      </w:r>
    </w:p>
    <w:p w14:paraId="70E86783" w14:textId="77777777" w:rsidR="008A6BBD" w:rsidRDefault="008A6BBD" w:rsidP="00FC2D2B">
      <w:pPr>
        <w:pStyle w:val="Quelle"/>
        <w:spacing w:before="0" w:after="0" w:line="360" w:lineRule="auto"/>
        <w:jc w:val="both"/>
        <w:rPr>
          <w:rFonts w:ascii="Arial" w:eastAsiaTheme="minorHAnsi" w:hAnsi="Arial" w:cs="Arial"/>
          <w:szCs w:val="24"/>
          <w:lang w:val="de-AT" w:eastAsia="en-US"/>
        </w:rPr>
      </w:pPr>
    </w:p>
    <w:p w14:paraId="1ED8103E" w14:textId="55A686AA" w:rsidR="008A6BBD" w:rsidRDefault="008A6BBD" w:rsidP="00965D33">
      <w:pPr>
        <w:pStyle w:val="Quelle"/>
        <w:spacing w:before="0" w:after="0" w:line="360" w:lineRule="auto"/>
        <w:jc w:val="both"/>
        <w:rPr>
          <w:rFonts w:ascii="Arial" w:eastAsiaTheme="minorHAnsi" w:hAnsi="Arial" w:cs="Arial"/>
          <w:szCs w:val="24"/>
          <w:lang w:val="de-AT" w:eastAsia="en-US"/>
        </w:rPr>
      </w:pPr>
      <w:r>
        <w:rPr>
          <w:rFonts w:ascii="Arial" w:eastAsiaTheme="minorHAnsi" w:hAnsi="Arial" w:cs="Arial"/>
          <w:szCs w:val="24"/>
          <w:lang w:val="de-AT" w:eastAsia="en-US"/>
        </w:rPr>
        <w:t>Damit ist</w:t>
      </w:r>
      <w:r w:rsidR="00FC2D2B" w:rsidRPr="00FC2D2B">
        <w:rPr>
          <w:rFonts w:ascii="Arial" w:eastAsiaTheme="minorHAnsi" w:hAnsi="Arial" w:cs="Arial"/>
          <w:szCs w:val="24"/>
          <w:lang w:val="de-AT" w:eastAsia="en-US"/>
        </w:rPr>
        <w:t xml:space="preserve"> der Anteil </w:t>
      </w:r>
      <w:r w:rsidR="003E622E">
        <w:rPr>
          <w:rFonts w:ascii="Arial" w:eastAsiaTheme="minorHAnsi" w:hAnsi="Arial" w:cs="Arial"/>
          <w:szCs w:val="24"/>
          <w:lang w:val="de-AT" w:eastAsia="en-US"/>
        </w:rPr>
        <w:t xml:space="preserve">im Frischebereich </w:t>
      </w:r>
      <w:r w:rsidR="00FC2D2B" w:rsidRPr="00FC2D2B">
        <w:rPr>
          <w:rFonts w:ascii="Arial" w:eastAsiaTheme="minorHAnsi" w:hAnsi="Arial" w:cs="Arial"/>
          <w:szCs w:val="24"/>
          <w:lang w:val="de-AT" w:eastAsia="en-US"/>
        </w:rPr>
        <w:t xml:space="preserve">von </w:t>
      </w:r>
      <w:r w:rsidR="00A11107">
        <w:rPr>
          <w:rFonts w:ascii="Arial" w:eastAsiaTheme="minorHAnsi" w:hAnsi="Arial" w:cs="Arial"/>
          <w:szCs w:val="24"/>
          <w:lang w:val="de-AT" w:eastAsia="en-US"/>
        </w:rPr>
        <w:t xml:space="preserve">– tendenziell teureren - </w:t>
      </w:r>
      <w:r w:rsidR="00FC2D2B" w:rsidRPr="00FC2D2B">
        <w:rPr>
          <w:rFonts w:ascii="Arial" w:eastAsiaTheme="minorHAnsi" w:hAnsi="Arial" w:cs="Arial"/>
          <w:szCs w:val="24"/>
          <w:lang w:val="de-AT" w:eastAsia="en-US"/>
        </w:rPr>
        <w:t xml:space="preserve">Bio-Lebensmitteln in diesem Jahr bereits auf 12 % gestiegen, im Vergleich zu 10 % im Jahr 2020 und 8 % im Jahr </w:t>
      </w:r>
      <w:r w:rsidR="00FC2D2B">
        <w:rPr>
          <w:rFonts w:ascii="Arial" w:eastAsiaTheme="minorHAnsi" w:hAnsi="Arial" w:cs="Arial"/>
          <w:szCs w:val="24"/>
          <w:lang w:val="de-AT" w:eastAsia="en-US"/>
        </w:rPr>
        <w:t xml:space="preserve"> </w:t>
      </w:r>
      <w:r w:rsidR="00FC2D2B" w:rsidRPr="00FC2D2B">
        <w:rPr>
          <w:rFonts w:ascii="Arial" w:eastAsiaTheme="minorHAnsi" w:hAnsi="Arial" w:cs="Arial"/>
          <w:szCs w:val="24"/>
          <w:lang w:val="de-AT" w:eastAsia="en-US"/>
        </w:rPr>
        <w:t xml:space="preserve">2018. 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Dieser Wandel in den </w:t>
      </w:r>
      <w:r w:rsidR="00354C8D">
        <w:rPr>
          <w:rFonts w:ascii="Arial" w:eastAsiaTheme="minorHAnsi" w:hAnsi="Arial" w:cs="Arial"/>
          <w:szCs w:val="24"/>
          <w:lang w:val="de-AT" w:eastAsia="en-US"/>
        </w:rPr>
        <w:t>Konsumgewohnheiten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 </w:t>
      </w:r>
      <w:r w:rsidR="00A65681">
        <w:rPr>
          <w:rFonts w:ascii="Arial" w:eastAsiaTheme="minorHAnsi" w:hAnsi="Arial" w:cs="Arial"/>
          <w:szCs w:val="24"/>
          <w:lang w:val="de-AT" w:eastAsia="en-US"/>
        </w:rPr>
        <w:t>wird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 </w:t>
      </w:r>
      <w:r w:rsidR="00FC2D2B">
        <w:rPr>
          <w:rFonts w:ascii="Arial" w:eastAsiaTheme="minorHAnsi" w:hAnsi="Arial" w:cs="Arial"/>
          <w:szCs w:val="24"/>
          <w:lang w:val="de-AT" w:eastAsia="en-US"/>
        </w:rPr>
        <w:t>durch die</w:t>
      </w:r>
      <w:r w:rsidR="00965D33" w:rsidRPr="00965D33">
        <w:rPr>
          <w:rFonts w:ascii="Arial" w:eastAsiaTheme="minorHAnsi" w:hAnsi="Arial" w:cs="Arial"/>
          <w:szCs w:val="24"/>
          <w:lang w:val="de-AT" w:eastAsia="en-US"/>
        </w:rPr>
        <w:t xml:space="preserve"> höheren Ausgaben für Lebens</w:t>
      </w:r>
      <w:r w:rsidR="00FC2D2B">
        <w:rPr>
          <w:rFonts w:ascii="Arial" w:eastAsiaTheme="minorHAnsi" w:hAnsi="Arial" w:cs="Arial"/>
          <w:szCs w:val="24"/>
          <w:lang w:val="de-AT" w:eastAsia="en-US"/>
        </w:rPr>
        <w:t xml:space="preserve">mittel </w:t>
      </w:r>
      <w:r w:rsidR="003E622E">
        <w:rPr>
          <w:rFonts w:ascii="Arial" w:eastAsiaTheme="minorHAnsi" w:hAnsi="Arial" w:cs="Arial"/>
          <w:szCs w:val="24"/>
          <w:lang w:val="de-AT" w:eastAsia="en-US"/>
        </w:rPr>
        <w:t>durchaus</w:t>
      </w:r>
      <w:r w:rsidR="00FC2D2B">
        <w:rPr>
          <w:rFonts w:ascii="Arial" w:eastAsiaTheme="minorHAnsi" w:hAnsi="Arial" w:cs="Arial"/>
          <w:szCs w:val="24"/>
          <w:lang w:val="de-AT" w:eastAsia="en-US"/>
        </w:rPr>
        <w:t xml:space="preserve"> sichtbar.</w:t>
      </w:r>
    </w:p>
    <w:p w14:paraId="61F3D38B" w14:textId="77777777" w:rsidR="008A6BBD" w:rsidRDefault="008A6BBD" w:rsidP="00965D33">
      <w:pPr>
        <w:pStyle w:val="Quelle"/>
        <w:spacing w:before="0" w:after="0" w:line="360" w:lineRule="auto"/>
        <w:jc w:val="both"/>
        <w:rPr>
          <w:rFonts w:ascii="Arial" w:eastAsiaTheme="minorHAnsi" w:hAnsi="Arial" w:cs="Arial"/>
          <w:szCs w:val="24"/>
          <w:lang w:val="de-AT" w:eastAsia="en-US"/>
        </w:rPr>
      </w:pPr>
    </w:p>
    <w:p w14:paraId="62075E1A" w14:textId="77777777" w:rsidR="00DB7A16" w:rsidRDefault="00965D33" w:rsidP="00B73F9B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>
        <w:rPr>
          <w:rFonts w:ascii="Arial" w:hAnsi="Arial" w:cs="Arial"/>
          <w:bCs/>
          <w:spacing w:val="10"/>
          <w:sz w:val="24"/>
          <w:szCs w:val="20"/>
          <w:lang w:val="de-DE"/>
        </w:rPr>
        <w:t>Gastronomieausgaben haben sich nahezu verdoppelt</w:t>
      </w:r>
    </w:p>
    <w:p w14:paraId="4FB1E6C8" w14:textId="77777777" w:rsidR="00960D76" w:rsidRDefault="00960D76" w:rsidP="00982C61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960D76">
        <w:rPr>
          <w:rFonts w:ascii="Arial" w:hAnsi="Arial" w:cs="Arial"/>
          <w:sz w:val="20"/>
          <w:szCs w:val="24"/>
        </w:rPr>
        <w:t xml:space="preserve">Die </w:t>
      </w:r>
      <w:r w:rsidR="00820D5C">
        <w:rPr>
          <w:rFonts w:ascii="Arial" w:hAnsi="Arial" w:cs="Arial"/>
          <w:sz w:val="20"/>
          <w:szCs w:val="24"/>
        </w:rPr>
        <w:t>massiven</w:t>
      </w:r>
      <w:r w:rsidRPr="00960D76">
        <w:rPr>
          <w:rFonts w:ascii="Arial" w:hAnsi="Arial" w:cs="Arial"/>
          <w:sz w:val="20"/>
          <w:szCs w:val="24"/>
        </w:rPr>
        <w:t xml:space="preserve"> Zuwächse bei den Ausgaben im Bereich der Ernährung sind </w:t>
      </w:r>
      <w:r w:rsidR="00820D5C">
        <w:rPr>
          <w:rFonts w:ascii="Arial" w:hAnsi="Arial" w:cs="Arial"/>
          <w:sz w:val="20"/>
          <w:szCs w:val="24"/>
        </w:rPr>
        <w:t xml:space="preserve">jedoch </w:t>
      </w:r>
      <w:r w:rsidRPr="00960D76">
        <w:rPr>
          <w:rFonts w:ascii="Arial" w:hAnsi="Arial" w:cs="Arial"/>
          <w:sz w:val="20"/>
          <w:szCs w:val="24"/>
        </w:rPr>
        <w:t xml:space="preserve">hauptsächlich der Gastronomie zuzuschreiben. </w:t>
      </w:r>
      <w:r>
        <w:rPr>
          <w:rFonts w:ascii="Arial" w:hAnsi="Arial" w:cs="Arial"/>
          <w:sz w:val="20"/>
          <w:szCs w:val="24"/>
        </w:rPr>
        <w:t>Obwohl der</w:t>
      </w:r>
      <w:r w:rsidRPr="00960D76">
        <w:rPr>
          <w:rFonts w:ascii="Arial" w:hAnsi="Arial" w:cs="Arial"/>
          <w:sz w:val="20"/>
          <w:szCs w:val="24"/>
        </w:rPr>
        <w:t xml:space="preserve"> Anteil der Ausgaben für Lebensmittel</w:t>
      </w:r>
      <w:r w:rsidR="00E30902">
        <w:rPr>
          <w:rFonts w:ascii="Arial" w:hAnsi="Arial" w:cs="Arial"/>
          <w:sz w:val="20"/>
          <w:szCs w:val="24"/>
        </w:rPr>
        <w:t xml:space="preserve"> an den Gesamtko</w:t>
      </w:r>
      <w:r w:rsidR="00E30902">
        <w:rPr>
          <w:rFonts w:ascii="Arial" w:hAnsi="Arial" w:cs="Arial"/>
          <w:sz w:val="20"/>
          <w:szCs w:val="24"/>
        </w:rPr>
        <w:t>n</w:t>
      </w:r>
      <w:r w:rsidR="00E30902">
        <w:rPr>
          <w:rFonts w:ascii="Arial" w:hAnsi="Arial" w:cs="Arial"/>
          <w:sz w:val="20"/>
          <w:szCs w:val="24"/>
        </w:rPr>
        <w:t>sumausgaben</w:t>
      </w:r>
      <w:r w:rsidRPr="00960D76">
        <w:rPr>
          <w:rFonts w:ascii="Arial" w:hAnsi="Arial" w:cs="Arial"/>
          <w:sz w:val="20"/>
          <w:szCs w:val="24"/>
        </w:rPr>
        <w:t xml:space="preserve"> in den letzten 10 Jahren praktisch unverändert geblieben</w:t>
      </w:r>
      <w:r w:rsidR="00E30902">
        <w:rPr>
          <w:rFonts w:ascii="Arial" w:hAnsi="Arial" w:cs="Arial"/>
          <w:sz w:val="20"/>
          <w:szCs w:val="24"/>
        </w:rPr>
        <w:t xml:space="preserve"> ist,</w:t>
      </w:r>
      <w:r w:rsidRPr="00960D76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zeigt sich eine </w:t>
      </w:r>
      <w:r w:rsidR="00E30902">
        <w:rPr>
          <w:rFonts w:ascii="Arial" w:hAnsi="Arial" w:cs="Arial"/>
          <w:sz w:val="20"/>
          <w:szCs w:val="24"/>
        </w:rPr>
        <w:t>eindeutige</w:t>
      </w:r>
      <w:r>
        <w:rPr>
          <w:rFonts w:ascii="Arial" w:hAnsi="Arial" w:cs="Arial"/>
          <w:sz w:val="20"/>
          <w:szCs w:val="24"/>
        </w:rPr>
        <w:t xml:space="preserve"> </w:t>
      </w:r>
      <w:r w:rsidRPr="00960D76">
        <w:rPr>
          <w:rFonts w:ascii="Arial" w:hAnsi="Arial" w:cs="Arial"/>
          <w:sz w:val="20"/>
          <w:szCs w:val="24"/>
        </w:rPr>
        <w:t>Verlagerung zugunsten der Gastronomie. Die Ausgaben im Einzelhandel sind in den letzten zehn Jahren um 30 % gestiegen, während die Gastronomie einen bemerkenswerten Anstieg von 80 % ve</w:t>
      </w:r>
      <w:r w:rsidRPr="00960D76">
        <w:rPr>
          <w:rFonts w:ascii="Arial" w:hAnsi="Arial" w:cs="Arial"/>
          <w:sz w:val="20"/>
          <w:szCs w:val="24"/>
        </w:rPr>
        <w:t>r</w:t>
      </w:r>
      <w:r w:rsidRPr="00960D76">
        <w:rPr>
          <w:rFonts w:ascii="Arial" w:hAnsi="Arial" w:cs="Arial"/>
          <w:sz w:val="20"/>
          <w:szCs w:val="24"/>
        </w:rPr>
        <w:t>zeichnet.</w:t>
      </w:r>
    </w:p>
    <w:p w14:paraId="76EF709A" w14:textId="77777777" w:rsidR="00982C61" w:rsidRDefault="00A63A13" w:rsidP="00982C61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Aktuell gibt der durchschnittliche Österreicher</w:t>
      </w:r>
      <w:r w:rsidR="00982C61" w:rsidRPr="00982C61">
        <w:rPr>
          <w:rFonts w:ascii="Arial" w:hAnsi="Arial" w:cs="Arial"/>
          <w:sz w:val="20"/>
          <w:szCs w:val="24"/>
        </w:rPr>
        <w:t xml:space="preserve"> jährlich etwa € 1.600 für Mah</w:t>
      </w:r>
      <w:r w:rsidR="00A65681">
        <w:rPr>
          <w:rFonts w:ascii="Arial" w:hAnsi="Arial" w:cs="Arial"/>
          <w:sz w:val="20"/>
          <w:szCs w:val="24"/>
        </w:rPr>
        <w:t xml:space="preserve">lzeiten außer Haus aus, im Jahr </w:t>
      </w:r>
      <w:r w:rsidR="00982C61" w:rsidRPr="00982C61">
        <w:rPr>
          <w:rFonts w:ascii="Arial" w:hAnsi="Arial" w:cs="Arial"/>
          <w:sz w:val="20"/>
          <w:szCs w:val="24"/>
        </w:rPr>
        <w:t xml:space="preserve">2012 waren es noch etwa € 900. </w:t>
      </w:r>
      <w:r w:rsidR="00442845" w:rsidRPr="00442845">
        <w:rPr>
          <w:rFonts w:ascii="Arial" w:hAnsi="Arial" w:cs="Arial"/>
          <w:sz w:val="20"/>
          <w:szCs w:val="24"/>
        </w:rPr>
        <w:t xml:space="preserve">Dies </w:t>
      </w:r>
      <w:r w:rsidR="00354C8D">
        <w:rPr>
          <w:rFonts w:ascii="Arial" w:hAnsi="Arial" w:cs="Arial"/>
          <w:sz w:val="20"/>
          <w:szCs w:val="24"/>
        </w:rPr>
        <w:t>unterstreicht die wachsende Bedeutung</w:t>
      </w:r>
      <w:r w:rsidR="00442845" w:rsidRPr="00442845">
        <w:rPr>
          <w:rFonts w:ascii="Arial" w:hAnsi="Arial" w:cs="Arial"/>
          <w:sz w:val="20"/>
          <w:szCs w:val="24"/>
        </w:rPr>
        <w:t xml:space="preserve"> des Gastronomi</w:t>
      </w:r>
      <w:r w:rsidR="00442845" w:rsidRPr="00442845">
        <w:rPr>
          <w:rFonts w:ascii="Arial" w:hAnsi="Arial" w:cs="Arial"/>
          <w:sz w:val="20"/>
          <w:szCs w:val="24"/>
        </w:rPr>
        <w:t>e</w:t>
      </w:r>
      <w:r w:rsidR="00442845" w:rsidRPr="00442845">
        <w:rPr>
          <w:rFonts w:ascii="Arial" w:hAnsi="Arial" w:cs="Arial"/>
          <w:sz w:val="20"/>
          <w:szCs w:val="24"/>
        </w:rPr>
        <w:t xml:space="preserve">sektors, da Gastronomiebetriebe </w:t>
      </w:r>
      <w:r w:rsidR="00354C8D">
        <w:rPr>
          <w:rFonts w:ascii="Arial" w:hAnsi="Arial" w:cs="Arial"/>
          <w:sz w:val="20"/>
          <w:szCs w:val="24"/>
        </w:rPr>
        <w:t xml:space="preserve">- </w:t>
      </w:r>
      <w:r w:rsidR="00442845" w:rsidRPr="00442845">
        <w:rPr>
          <w:rFonts w:ascii="Arial" w:hAnsi="Arial" w:cs="Arial"/>
          <w:sz w:val="20"/>
          <w:szCs w:val="24"/>
        </w:rPr>
        <w:t xml:space="preserve">insbesondere </w:t>
      </w:r>
      <w:r w:rsidR="006D5CAD">
        <w:rPr>
          <w:rFonts w:ascii="Arial" w:hAnsi="Arial" w:cs="Arial"/>
          <w:sz w:val="20"/>
          <w:szCs w:val="24"/>
        </w:rPr>
        <w:t xml:space="preserve">für </w:t>
      </w:r>
      <w:r w:rsidR="00442845" w:rsidRPr="00442845">
        <w:rPr>
          <w:rFonts w:ascii="Arial" w:hAnsi="Arial" w:cs="Arial"/>
          <w:sz w:val="20"/>
          <w:szCs w:val="24"/>
        </w:rPr>
        <w:t xml:space="preserve">die jüngere Zielgruppe </w:t>
      </w:r>
      <w:r w:rsidR="00354C8D">
        <w:rPr>
          <w:rFonts w:ascii="Arial" w:hAnsi="Arial" w:cs="Arial"/>
          <w:sz w:val="20"/>
          <w:szCs w:val="24"/>
        </w:rPr>
        <w:t xml:space="preserve">- </w:t>
      </w:r>
      <w:r w:rsidR="00442845" w:rsidRPr="00442845">
        <w:rPr>
          <w:rFonts w:ascii="Arial" w:hAnsi="Arial" w:cs="Arial"/>
          <w:sz w:val="20"/>
          <w:szCs w:val="24"/>
        </w:rPr>
        <w:t xml:space="preserve">zu wichtigen sozialen Treffpunkten avancieren, die weit über </w:t>
      </w:r>
      <w:r w:rsidR="00442845">
        <w:rPr>
          <w:rFonts w:ascii="Arial" w:hAnsi="Arial" w:cs="Arial"/>
          <w:sz w:val="20"/>
          <w:szCs w:val="24"/>
        </w:rPr>
        <w:t xml:space="preserve">die reine Nahrungsaufnahme </w:t>
      </w:r>
      <w:r w:rsidR="00442845" w:rsidRPr="00442845">
        <w:rPr>
          <w:rFonts w:ascii="Arial" w:hAnsi="Arial" w:cs="Arial"/>
          <w:sz w:val="20"/>
          <w:szCs w:val="24"/>
        </w:rPr>
        <w:t>hinausgehen und soziale Intera</w:t>
      </w:r>
      <w:r w:rsidR="00442845" w:rsidRPr="00442845">
        <w:rPr>
          <w:rFonts w:ascii="Arial" w:hAnsi="Arial" w:cs="Arial"/>
          <w:sz w:val="20"/>
          <w:szCs w:val="24"/>
        </w:rPr>
        <w:t>k</w:t>
      </w:r>
      <w:r w:rsidR="00442845" w:rsidRPr="00442845">
        <w:rPr>
          <w:rFonts w:ascii="Arial" w:hAnsi="Arial" w:cs="Arial"/>
          <w:sz w:val="20"/>
          <w:szCs w:val="24"/>
        </w:rPr>
        <w:t xml:space="preserve">tion, kulturellen Austausch </w:t>
      </w:r>
      <w:r w:rsidR="00442845">
        <w:rPr>
          <w:rFonts w:ascii="Arial" w:hAnsi="Arial" w:cs="Arial"/>
          <w:sz w:val="20"/>
          <w:szCs w:val="24"/>
        </w:rPr>
        <w:t>sowie</w:t>
      </w:r>
      <w:r w:rsidR="00442845" w:rsidRPr="00442845">
        <w:rPr>
          <w:rFonts w:ascii="Arial" w:hAnsi="Arial" w:cs="Arial"/>
          <w:sz w:val="20"/>
          <w:szCs w:val="24"/>
        </w:rPr>
        <w:t xml:space="preserve"> die Stärkung der Gemeinschaft fördern.</w:t>
      </w:r>
    </w:p>
    <w:p w14:paraId="5ABFBE01" w14:textId="776E4B5C" w:rsidR="00FB789D" w:rsidRDefault="00982C61" w:rsidP="00FB789D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982C61">
        <w:rPr>
          <w:rFonts w:ascii="Arial" w:hAnsi="Arial" w:cs="Arial"/>
          <w:sz w:val="20"/>
          <w:szCs w:val="24"/>
        </w:rPr>
        <w:t>Abgesehen von den Einbußen in den Jahren 2020 und 2021 aufgrund der COVID-19-Pandemie kon</w:t>
      </w:r>
      <w:r w:rsidRPr="00982C61">
        <w:rPr>
          <w:rFonts w:ascii="Arial" w:hAnsi="Arial" w:cs="Arial"/>
          <w:sz w:val="20"/>
          <w:szCs w:val="24"/>
        </w:rPr>
        <w:t>n</w:t>
      </w:r>
      <w:r w:rsidRPr="00982C61">
        <w:rPr>
          <w:rFonts w:ascii="Arial" w:hAnsi="Arial" w:cs="Arial"/>
          <w:sz w:val="20"/>
          <w:szCs w:val="24"/>
        </w:rPr>
        <w:t>te die Gastronomie in den letzten zehn Jahren einen</w:t>
      </w:r>
      <w:r w:rsidR="00A63A13">
        <w:rPr>
          <w:rFonts w:ascii="Arial" w:hAnsi="Arial" w:cs="Arial"/>
          <w:sz w:val="20"/>
          <w:szCs w:val="24"/>
        </w:rPr>
        <w:t xml:space="preserve"> kontinuierlichen</w:t>
      </w:r>
      <w:r w:rsidRPr="00982C61">
        <w:rPr>
          <w:rFonts w:ascii="Arial" w:hAnsi="Arial" w:cs="Arial"/>
          <w:sz w:val="20"/>
          <w:szCs w:val="24"/>
        </w:rPr>
        <w:t xml:space="preserve"> Wachstumstrend von 5</w:t>
      </w:r>
      <w:r w:rsidR="00FB789D">
        <w:rPr>
          <w:rFonts w:ascii="Arial" w:hAnsi="Arial" w:cs="Arial"/>
          <w:sz w:val="20"/>
          <w:szCs w:val="24"/>
        </w:rPr>
        <w:t xml:space="preserve"> </w:t>
      </w:r>
      <w:r w:rsidR="003D16E1">
        <w:rPr>
          <w:rFonts w:ascii="Arial" w:hAnsi="Arial" w:cs="Arial"/>
          <w:sz w:val="20"/>
          <w:szCs w:val="24"/>
        </w:rPr>
        <w:t>bis</w:t>
      </w:r>
      <w:r w:rsidR="00FB789D">
        <w:rPr>
          <w:rFonts w:ascii="Arial" w:hAnsi="Arial" w:cs="Arial"/>
          <w:sz w:val="20"/>
          <w:szCs w:val="24"/>
        </w:rPr>
        <w:t xml:space="preserve"> </w:t>
      </w:r>
      <w:r w:rsidRPr="00982C61">
        <w:rPr>
          <w:rFonts w:ascii="Arial" w:hAnsi="Arial" w:cs="Arial"/>
          <w:sz w:val="20"/>
          <w:szCs w:val="24"/>
        </w:rPr>
        <w:t>7 % verzeichnen</w:t>
      </w:r>
      <w:r w:rsidR="00FB789D">
        <w:rPr>
          <w:rFonts w:ascii="Arial" w:hAnsi="Arial" w:cs="Arial"/>
          <w:sz w:val="20"/>
          <w:szCs w:val="24"/>
        </w:rPr>
        <w:t xml:space="preserve">, </w:t>
      </w:r>
      <w:r w:rsidR="003D16E1">
        <w:rPr>
          <w:rFonts w:ascii="Arial" w:hAnsi="Arial" w:cs="Arial"/>
          <w:sz w:val="20"/>
          <w:szCs w:val="24"/>
        </w:rPr>
        <w:t>der in diesem Zeitraum</w:t>
      </w:r>
      <w:r w:rsidR="00FB789D">
        <w:rPr>
          <w:rFonts w:ascii="Arial" w:hAnsi="Arial" w:cs="Arial"/>
          <w:sz w:val="20"/>
          <w:szCs w:val="24"/>
        </w:rPr>
        <w:t xml:space="preserve"> über der Inflationsrate lag</w:t>
      </w:r>
      <w:r w:rsidRPr="00982C61">
        <w:rPr>
          <w:rFonts w:ascii="Arial" w:hAnsi="Arial" w:cs="Arial"/>
          <w:sz w:val="20"/>
          <w:szCs w:val="24"/>
        </w:rPr>
        <w:t>.</w:t>
      </w:r>
    </w:p>
    <w:p w14:paraId="08E90229" w14:textId="77777777" w:rsidR="00FB789D" w:rsidRDefault="00FB789D" w:rsidP="00FB789D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6E04918B" w14:textId="77777777" w:rsidR="00A63A13" w:rsidRDefault="00CF2946" w:rsidP="00FB789D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>
        <w:rPr>
          <w:rFonts w:ascii="Arial" w:hAnsi="Arial" w:cs="Arial"/>
          <w:bCs/>
          <w:spacing w:val="10"/>
          <w:sz w:val="24"/>
          <w:szCs w:val="20"/>
          <w:lang w:val="de-DE"/>
        </w:rPr>
        <w:t>Aufblühende Gastronomieszene in Europa</w:t>
      </w:r>
    </w:p>
    <w:p w14:paraId="4050799B" w14:textId="77777777" w:rsidR="00234C9B" w:rsidRPr="00234C9B" w:rsidRDefault="00234C9B" w:rsidP="00234C9B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234C9B">
        <w:rPr>
          <w:rFonts w:ascii="Arial" w:hAnsi="Arial" w:cs="Arial"/>
          <w:sz w:val="20"/>
          <w:szCs w:val="24"/>
        </w:rPr>
        <w:t>Der Trend des Auswärtsessens ist nicht</w:t>
      </w:r>
      <w:r w:rsidR="00F227CB">
        <w:rPr>
          <w:rFonts w:ascii="Arial" w:hAnsi="Arial" w:cs="Arial"/>
          <w:sz w:val="20"/>
          <w:szCs w:val="24"/>
        </w:rPr>
        <w:t xml:space="preserve"> allein</w:t>
      </w:r>
      <w:r w:rsidRPr="00234C9B">
        <w:rPr>
          <w:rFonts w:ascii="Arial" w:hAnsi="Arial" w:cs="Arial"/>
          <w:sz w:val="20"/>
          <w:szCs w:val="24"/>
        </w:rPr>
        <w:t xml:space="preserve"> auf Österreich beschränkt. Ein </w:t>
      </w:r>
      <w:r w:rsidR="00136602">
        <w:rPr>
          <w:rFonts w:ascii="Arial" w:hAnsi="Arial" w:cs="Arial"/>
          <w:sz w:val="20"/>
          <w:szCs w:val="24"/>
        </w:rPr>
        <w:t>signifikanter</w:t>
      </w:r>
      <w:r w:rsidR="00F227CB">
        <w:rPr>
          <w:rFonts w:ascii="Arial" w:hAnsi="Arial" w:cs="Arial"/>
          <w:sz w:val="20"/>
          <w:szCs w:val="24"/>
        </w:rPr>
        <w:t xml:space="preserve"> Anstieg in den </w:t>
      </w:r>
      <w:r w:rsidRPr="00234C9B">
        <w:rPr>
          <w:rFonts w:ascii="Arial" w:hAnsi="Arial" w:cs="Arial"/>
          <w:sz w:val="20"/>
          <w:szCs w:val="24"/>
        </w:rPr>
        <w:t xml:space="preserve">Gastronomieausgaben zeigt sich </w:t>
      </w:r>
      <w:r w:rsidR="00FB789D">
        <w:rPr>
          <w:rFonts w:ascii="Arial" w:hAnsi="Arial" w:cs="Arial"/>
          <w:sz w:val="20"/>
          <w:szCs w:val="24"/>
        </w:rPr>
        <w:t xml:space="preserve">beispielsweise sehr stark </w:t>
      </w:r>
      <w:r w:rsidRPr="00234C9B">
        <w:rPr>
          <w:rFonts w:ascii="Arial" w:hAnsi="Arial" w:cs="Arial"/>
          <w:sz w:val="20"/>
          <w:szCs w:val="24"/>
        </w:rPr>
        <w:t xml:space="preserve">in Tschechien, wo es im Vergleich zu 2017 </w:t>
      </w:r>
      <w:r w:rsidR="00136602">
        <w:rPr>
          <w:rFonts w:ascii="Arial" w:hAnsi="Arial" w:cs="Arial"/>
          <w:sz w:val="20"/>
          <w:szCs w:val="24"/>
        </w:rPr>
        <w:t xml:space="preserve">eine </w:t>
      </w:r>
      <w:r w:rsidR="00F227CB">
        <w:rPr>
          <w:rFonts w:ascii="Arial" w:hAnsi="Arial" w:cs="Arial"/>
          <w:sz w:val="20"/>
          <w:szCs w:val="24"/>
        </w:rPr>
        <w:t xml:space="preserve">Steigerung von </w:t>
      </w:r>
      <w:r w:rsidRPr="00234C9B">
        <w:rPr>
          <w:rFonts w:ascii="Arial" w:hAnsi="Arial" w:cs="Arial"/>
          <w:sz w:val="20"/>
          <w:szCs w:val="24"/>
        </w:rPr>
        <w:t xml:space="preserve">100 % gab. </w:t>
      </w:r>
      <w:r w:rsidR="001A065C">
        <w:rPr>
          <w:rFonts w:ascii="Arial" w:hAnsi="Arial" w:cs="Arial"/>
          <w:sz w:val="20"/>
          <w:szCs w:val="24"/>
        </w:rPr>
        <w:t>Dennoch belaufen sich die</w:t>
      </w:r>
      <w:r w:rsidRPr="00234C9B">
        <w:rPr>
          <w:rFonts w:ascii="Arial" w:hAnsi="Arial" w:cs="Arial"/>
          <w:sz w:val="20"/>
          <w:szCs w:val="24"/>
        </w:rPr>
        <w:t xml:space="preserve"> durchschnittlichen Verpflegung</w:t>
      </w:r>
      <w:r w:rsidRPr="00234C9B">
        <w:rPr>
          <w:rFonts w:ascii="Arial" w:hAnsi="Arial" w:cs="Arial"/>
          <w:sz w:val="20"/>
          <w:szCs w:val="24"/>
        </w:rPr>
        <w:t>s</w:t>
      </w:r>
      <w:r w:rsidRPr="00234C9B">
        <w:rPr>
          <w:rFonts w:ascii="Arial" w:hAnsi="Arial" w:cs="Arial"/>
          <w:sz w:val="20"/>
          <w:szCs w:val="24"/>
        </w:rPr>
        <w:lastRenderedPageBreak/>
        <w:t xml:space="preserve">ausgaben in Tschechien </w:t>
      </w:r>
      <w:r w:rsidR="00FB789D">
        <w:rPr>
          <w:rFonts w:ascii="Arial" w:hAnsi="Arial" w:cs="Arial"/>
          <w:sz w:val="20"/>
          <w:szCs w:val="24"/>
        </w:rPr>
        <w:t xml:space="preserve">nur </w:t>
      </w:r>
      <w:r w:rsidR="001A065C">
        <w:rPr>
          <w:rFonts w:ascii="Arial" w:hAnsi="Arial" w:cs="Arial"/>
          <w:sz w:val="20"/>
          <w:szCs w:val="24"/>
        </w:rPr>
        <w:t>auf</w:t>
      </w:r>
      <w:r w:rsidRPr="00234C9B">
        <w:rPr>
          <w:rFonts w:ascii="Arial" w:hAnsi="Arial" w:cs="Arial"/>
          <w:sz w:val="20"/>
          <w:szCs w:val="24"/>
        </w:rPr>
        <w:t xml:space="preserve"> etwa </w:t>
      </w:r>
      <w:r w:rsidR="00F227CB" w:rsidRPr="00234C9B">
        <w:rPr>
          <w:rFonts w:ascii="Arial" w:hAnsi="Arial" w:cs="Arial"/>
          <w:sz w:val="20"/>
          <w:szCs w:val="24"/>
        </w:rPr>
        <w:t>€</w:t>
      </w:r>
      <w:r w:rsidR="00F227CB">
        <w:rPr>
          <w:rFonts w:ascii="Arial" w:hAnsi="Arial" w:cs="Arial"/>
          <w:sz w:val="20"/>
          <w:szCs w:val="24"/>
        </w:rPr>
        <w:t xml:space="preserve"> </w:t>
      </w:r>
      <w:r w:rsidRPr="00234C9B">
        <w:rPr>
          <w:rFonts w:ascii="Arial" w:hAnsi="Arial" w:cs="Arial"/>
          <w:sz w:val="20"/>
          <w:szCs w:val="24"/>
        </w:rPr>
        <w:t xml:space="preserve">600  pro Person und Jahr, was </w:t>
      </w:r>
      <w:r w:rsidR="001A065C">
        <w:rPr>
          <w:rFonts w:ascii="Arial" w:hAnsi="Arial" w:cs="Arial"/>
          <w:sz w:val="20"/>
          <w:szCs w:val="24"/>
        </w:rPr>
        <w:t>nach wie vor deutlich</w:t>
      </w:r>
      <w:r w:rsidRPr="00234C9B">
        <w:rPr>
          <w:rFonts w:ascii="Arial" w:hAnsi="Arial" w:cs="Arial"/>
          <w:sz w:val="20"/>
          <w:szCs w:val="24"/>
        </w:rPr>
        <w:t xml:space="preserve"> unter dem </w:t>
      </w:r>
      <w:r w:rsidR="00F227CB">
        <w:rPr>
          <w:rFonts w:ascii="Arial" w:hAnsi="Arial" w:cs="Arial"/>
          <w:sz w:val="20"/>
          <w:szCs w:val="24"/>
        </w:rPr>
        <w:t>österreichischen Niveau liegt.</w:t>
      </w:r>
    </w:p>
    <w:p w14:paraId="6A560FBD" w14:textId="77777777" w:rsidR="00CF2946" w:rsidRDefault="00234C9B" w:rsidP="004264CE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234C9B">
        <w:rPr>
          <w:rFonts w:ascii="Arial" w:hAnsi="Arial" w:cs="Arial"/>
          <w:sz w:val="20"/>
          <w:szCs w:val="24"/>
        </w:rPr>
        <w:t xml:space="preserve">Hingegen wird außerhalb der eigenen vier Wände </w:t>
      </w:r>
      <w:r w:rsidR="001A065C">
        <w:rPr>
          <w:rFonts w:ascii="Arial" w:hAnsi="Arial" w:cs="Arial"/>
          <w:sz w:val="20"/>
          <w:szCs w:val="24"/>
        </w:rPr>
        <w:t>besonders</w:t>
      </w:r>
      <w:r w:rsidRPr="00234C9B">
        <w:rPr>
          <w:rFonts w:ascii="Arial" w:hAnsi="Arial" w:cs="Arial"/>
          <w:sz w:val="20"/>
          <w:szCs w:val="24"/>
        </w:rPr>
        <w:t xml:space="preserve"> auf dem Balkan vergleichsweise wenig </w:t>
      </w:r>
      <w:r w:rsidR="000035A5">
        <w:rPr>
          <w:rFonts w:ascii="Arial" w:hAnsi="Arial" w:cs="Arial"/>
          <w:sz w:val="20"/>
          <w:szCs w:val="24"/>
        </w:rPr>
        <w:t>gespeist</w:t>
      </w:r>
      <w:r w:rsidRPr="00234C9B">
        <w:rPr>
          <w:rFonts w:ascii="Arial" w:hAnsi="Arial" w:cs="Arial"/>
          <w:sz w:val="20"/>
          <w:szCs w:val="24"/>
        </w:rPr>
        <w:t>. In Ländern wie Serbien, Rumänien und Bosnien</w:t>
      </w:r>
      <w:r w:rsidR="000035A5">
        <w:rPr>
          <w:rFonts w:ascii="Arial" w:hAnsi="Arial" w:cs="Arial"/>
          <w:sz w:val="20"/>
          <w:szCs w:val="24"/>
        </w:rPr>
        <w:t>-Herzegowina</w:t>
      </w:r>
      <w:r w:rsidRPr="00234C9B">
        <w:rPr>
          <w:rFonts w:ascii="Arial" w:hAnsi="Arial" w:cs="Arial"/>
          <w:sz w:val="20"/>
          <w:szCs w:val="24"/>
        </w:rPr>
        <w:t xml:space="preserve"> </w:t>
      </w:r>
      <w:r w:rsidR="001A065C">
        <w:rPr>
          <w:rFonts w:ascii="Arial" w:hAnsi="Arial" w:cs="Arial"/>
          <w:sz w:val="20"/>
          <w:szCs w:val="24"/>
        </w:rPr>
        <w:t>liegen</w:t>
      </w:r>
      <w:r w:rsidRPr="00234C9B">
        <w:rPr>
          <w:rFonts w:ascii="Arial" w:hAnsi="Arial" w:cs="Arial"/>
          <w:sz w:val="20"/>
          <w:szCs w:val="24"/>
        </w:rPr>
        <w:t xml:space="preserve"> die Gastronomieau</w:t>
      </w:r>
      <w:r w:rsidRPr="00234C9B">
        <w:rPr>
          <w:rFonts w:ascii="Arial" w:hAnsi="Arial" w:cs="Arial"/>
          <w:sz w:val="20"/>
          <w:szCs w:val="24"/>
        </w:rPr>
        <w:t>s</w:t>
      </w:r>
      <w:r w:rsidRPr="00234C9B">
        <w:rPr>
          <w:rFonts w:ascii="Arial" w:hAnsi="Arial" w:cs="Arial"/>
          <w:sz w:val="20"/>
          <w:szCs w:val="24"/>
        </w:rPr>
        <w:t xml:space="preserve">gaben </w:t>
      </w:r>
      <w:r w:rsidR="001A065C">
        <w:rPr>
          <w:rFonts w:ascii="Arial" w:hAnsi="Arial" w:cs="Arial"/>
          <w:sz w:val="20"/>
          <w:szCs w:val="24"/>
        </w:rPr>
        <w:t>bei</w:t>
      </w:r>
      <w:r w:rsidRPr="00234C9B">
        <w:rPr>
          <w:rFonts w:ascii="Arial" w:hAnsi="Arial" w:cs="Arial"/>
          <w:sz w:val="20"/>
          <w:szCs w:val="24"/>
        </w:rPr>
        <w:t xml:space="preserve"> </w:t>
      </w:r>
      <w:r w:rsidR="000035A5">
        <w:rPr>
          <w:rFonts w:ascii="Arial" w:hAnsi="Arial" w:cs="Arial"/>
          <w:sz w:val="20"/>
          <w:szCs w:val="24"/>
        </w:rPr>
        <w:t>lediglich</w:t>
      </w:r>
      <w:r w:rsidR="00F227CB">
        <w:rPr>
          <w:rFonts w:ascii="Arial" w:hAnsi="Arial" w:cs="Arial"/>
          <w:sz w:val="20"/>
          <w:szCs w:val="24"/>
        </w:rPr>
        <w:t xml:space="preserve"> </w:t>
      </w:r>
      <w:r w:rsidR="00F227CB" w:rsidRPr="00234C9B">
        <w:rPr>
          <w:rFonts w:ascii="Arial" w:hAnsi="Arial" w:cs="Arial"/>
          <w:sz w:val="20"/>
          <w:szCs w:val="24"/>
        </w:rPr>
        <w:t>€</w:t>
      </w:r>
      <w:r w:rsidRPr="00234C9B">
        <w:rPr>
          <w:rFonts w:ascii="Arial" w:hAnsi="Arial" w:cs="Arial"/>
          <w:sz w:val="20"/>
          <w:szCs w:val="24"/>
        </w:rPr>
        <w:t xml:space="preserve"> 90 bis 125  pro Person. </w:t>
      </w:r>
      <w:r w:rsidR="00CF2946">
        <w:rPr>
          <w:rFonts w:ascii="Arial" w:hAnsi="Arial" w:cs="Arial"/>
          <w:sz w:val="20"/>
          <w:szCs w:val="24"/>
        </w:rPr>
        <w:t xml:space="preserve">Seit 2017 hat sich der Gastronomieanteil allerdings auch hier um 60 bis 70 % erhöht, in Rumänien sogar um </w:t>
      </w:r>
      <w:r w:rsidR="001A065C">
        <w:rPr>
          <w:rFonts w:ascii="Arial" w:hAnsi="Arial" w:cs="Arial"/>
          <w:sz w:val="20"/>
          <w:szCs w:val="24"/>
        </w:rPr>
        <w:t xml:space="preserve">beeindruckende </w:t>
      </w:r>
      <w:r w:rsidR="00CF2946">
        <w:rPr>
          <w:rFonts w:ascii="Arial" w:hAnsi="Arial" w:cs="Arial"/>
          <w:sz w:val="20"/>
          <w:szCs w:val="24"/>
        </w:rPr>
        <w:t>144 %.</w:t>
      </w:r>
      <w:r w:rsidR="0091232A">
        <w:rPr>
          <w:rFonts w:ascii="Arial" w:hAnsi="Arial" w:cs="Arial"/>
          <w:sz w:val="20"/>
          <w:szCs w:val="24"/>
        </w:rPr>
        <w:t xml:space="preserve"> </w:t>
      </w:r>
      <w:r w:rsidR="008B4092">
        <w:rPr>
          <w:rFonts w:ascii="Arial" w:hAnsi="Arial" w:cs="Arial"/>
          <w:sz w:val="20"/>
          <w:szCs w:val="24"/>
        </w:rPr>
        <w:t>In</w:t>
      </w:r>
      <w:r w:rsidR="0091232A" w:rsidRPr="0091232A">
        <w:rPr>
          <w:rFonts w:ascii="Arial" w:hAnsi="Arial" w:cs="Arial"/>
          <w:sz w:val="20"/>
          <w:szCs w:val="24"/>
        </w:rPr>
        <w:t xml:space="preserve"> Kroatien hat der </w:t>
      </w:r>
      <w:r w:rsidR="0091232A">
        <w:rPr>
          <w:rFonts w:ascii="Arial" w:hAnsi="Arial" w:cs="Arial"/>
          <w:sz w:val="20"/>
          <w:szCs w:val="24"/>
        </w:rPr>
        <w:t>Außer-Haus-Verzehr</w:t>
      </w:r>
      <w:r w:rsidR="0091232A" w:rsidRPr="0091232A">
        <w:rPr>
          <w:rFonts w:ascii="Arial" w:hAnsi="Arial" w:cs="Arial"/>
          <w:sz w:val="20"/>
          <w:szCs w:val="24"/>
        </w:rPr>
        <w:t xml:space="preserve"> in den letzten 5 Jahren um rund 127 % zugenommen und liegt derzeit bei </w:t>
      </w:r>
      <w:r w:rsidR="00B15CBC">
        <w:rPr>
          <w:rFonts w:ascii="Arial" w:hAnsi="Arial" w:cs="Arial"/>
          <w:sz w:val="20"/>
          <w:szCs w:val="24"/>
        </w:rPr>
        <w:t>€ 281</w:t>
      </w:r>
      <w:r w:rsidR="0091232A" w:rsidRPr="0091232A">
        <w:rPr>
          <w:rFonts w:ascii="Arial" w:hAnsi="Arial" w:cs="Arial"/>
          <w:sz w:val="20"/>
          <w:szCs w:val="24"/>
        </w:rPr>
        <w:t xml:space="preserve"> pro Person.</w:t>
      </w:r>
    </w:p>
    <w:p w14:paraId="02A6BD1A" w14:textId="77777777" w:rsidR="00042521" w:rsidRDefault="00234C9B" w:rsidP="00042521">
      <w:pPr>
        <w:spacing w:line="360" w:lineRule="auto"/>
        <w:jc w:val="both"/>
      </w:pPr>
      <w:r w:rsidRPr="00234C9B">
        <w:rPr>
          <w:rFonts w:ascii="Arial" w:hAnsi="Arial" w:cs="Arial"/>
          <w:sz w:val="20"/>
          <w:szCs w:val="24"/>
        </w:rPr>
        <w:t xml:space="preserve">Slowenien </w:t>
      </w:r>
      <w:r w:rsidR="001A065C">
        <w:rPr>
          <w:rFonts w:ascii="Arial" w:hAnsi="Arial" w:cs="Arial"/>
          <w:sz w:val="20"/>
          <w:szCs w:val="24"/>
        </w:rPr>
        <w:t>verzeichnet derzeit Ausgaben von knapp</w:t>
      </w:r>
      <w:r w:rsidR="00F227CB" w:rsidRPr="00234C9B">
        <w:rPr>
          <w:rFonts w:ascii="Arial" w:hAnsi="Arial" w:cs="Arial"/>
          <w:sz w:val="20"/>
          <w:szCs w:val="24"/>
        </w:rPr>
        <w:t xml:space="preserve"> €</w:t>
      </w:r>
      <w:r w:rsidRPr="00234C9B">
        <w:rPr>
          <w:rFonts w:ascii="Arial" w:hAnsi="Arial" w:cs="Arial"/>
          <w:sz w:val="20"/>
          <w:szCs w:val="24"/>
        </w:rPr>
        <w:t xml:space="preserve"> 700, was einen </w:t>
      </w:r>
      <w:r w:rsidR="00F227CB">
        <w:rPr>
          <w:rFonts w:ascii="Arial" w:hAnsi="Arial" w:cs="Arial"/>
          <w:sz w:val="20"/>
          <w:szCs w:val="24"/>
        </w:rPr>
        <w:t>deutlichen</w:t>
      </w:r>
      <w:r w:rsidRPr="00234C9B">
        <w:rPr>
          <w:rFonts w:ascii="Arial" w:hAnsi="Arial" w:cs="Arial"/>
          <w:sz w:val="20"/>
          <w:szCs w:val="24"/>
        </w:rPr>
        <w:t xml:space="preserve"> Anstieg gegenüber 2017 darstellt, als der durchschnittliche Slowene </w:t>
      </w:r>
      <w:r w:rsidR="00F227CB">
        <w:rPr>
          <w:rFonts w:ascii="Arial" w:hAnsi="Arial" w:cs="Arial"/>
          <w:sz w:val="20"/>
          <w:szCs w:val="24"/>
        </w:rPr>
        <w:t>noch</w:t>
      </w:r>
      <w:r w:rsidRPr="00234C9B">
        <w:rPr>
          <w:rFonts w:ascii="Arial" w:hAnsi="Arial" w:cs="Arial"/>
          <w:sz w:val="20"/>
          <w:szCs w:val="24"/>
        </w:rPr>
        <w:t xml:space="preserve"> etwa 450 € für </w:t>
      </w:r>
      <w:r w:rsidR="00F227CB">
        <w:rPr>
          <w:rFonts w:ascii="Arial" w:hAnsi="Arial" w:cs="Arial"/>
          <w:sz w:val="20"/>
          <w:szCs w:val="24"/>
        </w:rPr>
        <w:t>außerhäusliche</w:t>
      </w:r>
      <w:r>
        <w:rPr>
          <w:rFonts w:ascii="Arial" w:hAnsi="Arial" w:cs="Arial"/>
          <w:sz w:val="20"/>
          <w:szCs w:val="24"/>
        </w:rPr>
        <w:t xml:space="preserve"> Verpflegung ausgab. </w:t>
      </w:r>
      <w:r w:rsidRPr="00234C9B">
        <w:rPr>
          <w:rFonts w:ascii="Arial" w:hAnsi="Arial" w:cs="Arial"/>
          <w:sz w:val="20"/>
          <w:szCs w:val="24"/>
        </w:rPr>
        <w:t>Italien verzeichnet</w:t>
      </w:r>
      <w:r w:rsidR="001A065C">
        <w:rPr>
          <w:rFonts w:ascii="Arial" w:hAnsi="Arial" w:cs="Arial"/>
          <w:sz w:val="20"/>
          <w:szCs w:val="24"/>
        </w:rPr>
        <w:t xml:space="preserve"> mit</w:t>
      </w:r>
      <w:r w:rsidR="001A065C" w:rsidRPr="00234C9B">
        <w:rPr>
          <w:rFonts w:ascii="Arial" w:hAnsi="Arial" w:cs="Arial"/>
          <w:sz w:val="20"/>
          <w:szCs w:val="24"/>
        </w:rPr>
        <w:t xml:space="preserve"> etwa € 1.100 pro Person</w:t>
      </w:r>
      <w:r w:rsidRPr="00234C9B">
        <w:rPr>
          <w:rFonts w:ascii="Arial" w:hAnsi="Arial" w:cs="Arial"/>
          <w:sz w:val="20"/>
          <w:szCs w:val="24"/>
        </w:rPr>
        <w:t xml:space="preserve"> deutlich höhere </w:t>
      </w:r>
      <w:r w:rsidR="001A065C">
        <w:rPr>
          <w:rFonts w:ascii="Arial" w:hAnsi="Arial" w:cs="Arial"/>
          <w:sz w:val="20"/>
          <w:szCs w:val="24"/>
        </w:rPr>
        <w:t>Gastronomieausgaben,</w:t>
      </w:r>
      <w:r w:rsidRPr="00234C9B">
        <w:rPr>
          <w:rFonts w:ascii="Arial" w:hAnsi="Arial" w:cs="Arial"/>
          <w:sz w:val="20"/>
          <w:szCs w:val="24"/>
        </w:rPr>
        <w:t xml:space="preserve"> was </w:t>
      </w:r>
      <w:r w:rsidR="00F227CB">
        <w:rPr>
          <w:rFonts w:ascii="Arial" w:hAnsi="Arial" w:cs="Arial"/>
          <w:sz w:val="20"/>
          <w:szCs w:val="24"/>
        </w:rPr>
        <w:t xml:space="preserve">natürlich auf die ausgeprägte italienische </w:t>
      </w:r>
      <w:r w:rsidRPr="00234C9B">
        <w:rPr>
          <w:rFonts w:ascii="Arial" w:hAnsi="Arial" w:cs="Arial"/>
          <w:sz w:val="20"/>
          <w:szCs w:val="24"/>
        </w:rPr>
        <w:t xml:space="preserve">Esskultur </w:t>
      </w:r>
      <w:r w:rsidR="001A065C">
        <w:rPr>
          <w:rFonts w:ascii="Arial" w:hAnsi="Arial" w:cs="Arial"/>
          <w:sz w:val="20"/>
          <w:szCs w:val="24"/>
        </w:rPr>
        <w:t>und tief verwurzelte</w:t>
      </w:r>
      <w:r w:rsidRPr="00234C9B">
        <w:rPr>
          <w:rFonts w:ascii="Arial" w:hAnsi="Arial" w:cs="Arial"/>
          <w:sz w:val="20"/>
          <w:szCs w:val="24"/>
        </w:rPr>
        <w:t xml:space="preserve"> gastronomische Vielfalt </w:t>
      </w:r>
      <w:r w:rsidR="00F227CB">
        <w:rPr>
          <w:rFonts w:ascii="Arial" w:hAnsi="Arial" w:cs="Arial"/>
          <w:sz w:val="20"/>
          <w:szCs w:val="24"/>
        </w:rPr>
        <w:t>z</w:t>
      </w:r>
      <w:r w:rsidR="00F227CB">
        <w:rPr>
          <w:rFonts w:ascii="Arial" w:hAnsi="Arial" w:cs="Arial"/>
          <w:sz w:val="20"/>
          <w:szCs w:val="24"/>
        </w:rPr>
        <w:t>u</w:t>
      </w:r>
      <w:r w:rsidR="00F227CB">
        <w:rPr>
          <w:rFonts w:ascii="Arial" w:hAnsi="Arial" w:cs="Arial"/>
          <w:sz w:val="20"/>
          <w:szCs w:val="24"/>
        </w:rPr>
        <w:t>rückzuführen ist</w:t>
      </w:r>
      <w:r w:rsidRPr="00234C9B">
        <w:rPr>
          <w:rFonts w:ascii="Arial" w:hAnsi="Arial" w:cs="Arial"/>
          <w:sz w:val="20"/>
          <w:szCs w:val="24"/>
        </w:rPr>
        <w:t>.</w:t>
      </w:r>
      <w:r w:rsidR="00B6415E" w:rsidRPr="00B6415E">
        <w:t xml:space="preserve"> </w:t>
      </w:r>
    </w:p>
    <w:p w14:paraId="51B13016" w14:textId="77777777" w:rsidR="001A065C" w:rsidRPr="001A065C" w:rsidRDefault="00FB789D" w:rsidP="00042521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Obwohl die Ausgaben für Gastronomie natürlich st</w:t>
      </w:r>
      <w:r w:rsidR="006D5CAD">
        <w:rPr>
          <w:rFonts w:ascii="Arial" w:hAnsi="Arial" w:cs="Arial"/>
          <w:sz w:val="20"/>
          <w:szCs w:val="24"/>
        </w:rPr>
        <w:t>ark mit der Kaufkraft korrelieren</w:t>
      </w:r>
      <w:r>
        <w:rPr>
          <w:rFonts w:ascii="Arial" w:hAnsi="Arial" w:cs="Arial"/>
          <w:sz w:val="20"/>
          <w:szCs w:val="24"/>
        </w:rPr>
        <w:t>, gibt es doch sign</w:t>
      </w:r>
      <w:r>
        <w:rPr>
          <w:rFonts w:ascii="Arial" w:hAnsi="Arial" w:cs="Arial"/>
          <w:sz w:val="20"/>
          <w:szCs w:val="24"/>
        </w:rPr>
        <w:t>i</w:t>
      </w:r>
      <w:r>
        <w:rPr>
          <w:rFonts w:ascii="Arial" w:hAnsi="Arial" w:cs="Arial"/>
          <w:sz w:val="20"/>
          <w:szCs w:val="24"/>
        </w:rPr>
        <w:t>fikante Abweichungen, die im Übrigen die meisten Vorurteile bestätigen: Anteilsmäßig sehr hohe Au</w:t>
      </w:r>
      <w:r>
        <w:rPr>
          <w:rFonts w:ascii="Arial" w:hAnsi="Arial" w:cs="Arial"/>
          <w:sz w:val="20"/>
          <w:szCs w:val="24"/>
        </w:rPr>
        <w:t>s</w:t>
      </w:r>
      <w:r>
        <w:rPr>
          <w:rFonts w:ascii="Arial" w:hAnsi="Arial" w:cs="Arial"/>
          <w:sz w:val="20"/>
          <w:szCs w:val="24"/>
        </w:rPr>
        <w:t>gaben in Italien und Frankreich, sehr geringe hingegen in Großbritannien, am Balkan und der Schweiz.</w:t>
      </w:r>
    </w:p>
    <w:p w14:paraId="158EAB31" w14:textId="77777777" w:rsidR="001A065C" w:rsidRPr="001A065C" w:rsidRDefault="001A065C" w:rsidP="001A065C">
      <w:pPr>
        <w:rPr>
          <w:rFonts w:ascii="Arial" w:hAnsi="Arial" w:cs="Arial"/>
          <w:i/>
          <w:sz w:val="20"/>
          <w:szCs w:val="20"/>
        </w:rPr>
      </w:pPr>
    </w:p>
    <w:p w14:paraId="1D4A3033" w14:textId="77777777" w:rsidR="001A065C" w:rsidRPr="001A065C" w:rsidRDefault="001A065C" w:rsidP="001A065C">
      <w:pPr>
        <w:rPr>
          <w:rFonts w:ascii="Arial" w:hAnsi="Arial" w:cs="Arial"/>
          <w:i/>
          <w:sz w:val="20"/>
          <w:szCs w:val="20"/>
          <w:lang w:val="de-DE"/>
        </w:rPr>
      </w:pPr>
    </w:p>
    <w:p w14:paraId="4227CD40" w14:textId="77777777" w:rsidR="001A065C" w:rsidRPr="001A065C" w:rsidRDefault="001A065C" w:rsidP="001A065C">
      <w:pPr>
        <w:rPr>
          <w:rFonts w:ascii="Arial" w:hAnsi="Arial" w:cs="Arial"/>
          <w:i/>
          <w:sz w:val="20"/>
          <w:szCs w:val="20"/>
          <w:lang w:val="de-DE"/>
        </w:rPr>
      </w:pPr>
    </w:p>
    <w:p w14:paraId="0BF9D6FC" w14:textId="77777777" w:rsidR="00505498" w:rsidRDefault="00505498" w:rsidP="00505498">
      <w:pPr>
        <w:rPr>
          <w:rFonts w:ascii="Arial" w:hAnsi="Arial" w:cs="Arial"/>
          <w:i/>
          <w:sz w:val="20"/>
          <w:szCs w:val="20"/>
          <w:lang w:val="de-DE"/>
        </w:rPr>
      </w:pPr>
    </w:p>
    <w:p w14:paraId="0AB94702" w14:textId="77777777" w:rsidR="00963520" w:rsidRDefault="00963520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14:paraId="00E5D9D1" w14:textId="77777777" w:rsidR="006A72B5" w:rsidRDefault="006A72B5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14:paraId="0CE1E259" w14:textId="77777777" w:rsidR="006A72B5" w:rsidRDefault="006A72B5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14:paraId="50B52562" w14:textId="77777777" w:rsidR="00012EC2" w:rsidRDefault="00012EC2" w:rsidP="00CF2946">
      <w:pPr>
        <w:rPr>
          <w:rFonts w:ascii="Arial" w:hAnsi="Arial" w:cs="Arial"/>
          <w:i/>
          <w:sz w:val="20"/>
          <w:szCs w:val="20"/>
          <w:lang w:val="de-DE"/>
        </w:rPr>
      </w:pPr>
    </w:p>
    <w:p w14:paraId="5067F6A8" w14:textId="77777777" w:rsidR="00012EC2" w:rsidRDefault="00012EC2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14:paraId="3F6E694B" w14:textId="77777777" w:rsidR="00963520" w:rsidRDefault="00963520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14:paraId="09CA290F" w14:textId="77777777" w:rsidR="00A8581D" w:rsidRPr="00F16748" w:rsidRDefault="00A8581D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14:paraId="2B95CA84" w14:textId="77777777" w:rsidR="001F4744" w:rsidRPr="00AD52CE" w:rsidRDefault="00AD52CE" w:rsidP="00AD52CE">
      <w:pPr>
        <w:spacing w:line="240" w:lineRule="auto"/>
        <w:jc w:val="center"/>
        <w:rPr>
          <w:sz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>Die Studie</w:t>
      </w:r>
      <w:r w:rsidR="001F4744" w:rsidRPr="00F16748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1F4744" w:rsidRPr="00F16748">
        <w:rPr>
          <w:rFonts w:ascii="Arial" w:hAnsi="Arial" w:cs="Arial"/>
          <w:b/>
          <w:i/>
          <w:sz w:val="20"/>
          <w:szCs w:val="20"/>
          <w:lang w:val="de-DE"/>
        </w:rPr>
        <w:t>„</w:t>
      </w:r>
      <w:r w:rsidR="0066676F">
        <w:rPr>
          <w:rFonts w:ascii="Arial" w:hAnsi="Arial" w:cs="Arial"/>
          <w:b/>
          <w:i/>
          <w:sz w:val="20"/>
          <w:szCs w:val="20"/>
          <w:lang w:val="de-DE"/>
        </w:rPr>
        <w:t>Konsumausgaben Österreich</w:t>
      </w:r>
      <w:r w:rsidR="001F4744" w:rsidRPr="00F16748">
        <w:rPr>
          <w:rFonts w:ascii="Arial" w:hAnsi="Arial" w:cs="Arial"/>
          <w:b/>
          <w:i/>
          <w:sz w:val="20"/>
          <w:szCs w:val="20"/>
          <w:lang w:val="de-DE"/>
        </w:rPr>
        <w:t>– Ausgabe 202</w:t>
      </w:r>
      <w:r w:rsidR="001F4744">
        <w:rPr>
          <w:rFonts w:ascii="Arial" w:hAnsi="Arial" w:cs="Arial"/>
          <w:b/>
          <w:i/>
          <w:sz w:val="20"/>
          <w:szCs w:val="20"/>
          <w:lang w:val="de-DE"/>
        </w:rPr>
        <w:t>3</w:t>
      </w:r>
      <w:r>
        <w:rPr>
          <w:rFonts w:ascii="Arial" w:hAnsi="Arial" w:cs="Arial"/>
          <w:b/>
          <w:i/>
          <w:sz w:val="20"/>
          <w:szCs w:val="20"/>
          <w:lang w:val="de-DE"/>
        </w:rPr>
        <w:t xml:space="preserve">“ </w:t>
      </w:r>
      <w:r w:rsidRPr="00AD52CE">
        <w:rPr>
          <w:rFonts w:ascii="Arial" w:hAnsi="Arial" w:cs="Arial"/>
          <w:i/>
          <w:sz w:val="20"/>
          <w:szCs w:val="20"/>
          <w:lang w:val="de-DE"/>
        </w:rPr>
        <w:t>ist a</w:t>
      </w:r>
      <w:proofErr w:type="spellStart"/>
      <w:r w:rsidRPr="00AD52CE">
        <w:rPr>
          <w:rFonts w:ascii="Arial" w:hAnsi="Arial" w:cs="Arial"/>
          <w:i/>
          <w:sz w:val="20"/>
          <w:szCs w:val="20"/>
        </w:rPr>
        <w:t>ktuell</w:t>
      </w:r>
      <w:proofErr w:type="spellEnd"/>
      <w:r w:rsidRPr="00AD52CE">
        <w:rPr>
          <w:rFonts w:ascii="Arial" w:hAnsi="Arial" w:cs="Arial"/>
          <w:i/>
          <w:sz w:val="20"/>
          <w:szCs w:val="20"/>
        </w:rPr>
        <w:t xml:space="preserve"> zum Preis von € </w:t>
      </w:r>
      <w:r w:rsidR="0066676F">
        <w:rPr>
          <w:rFonts w:ascii="Arial" w:hAnsi="Arial" w:cs="Arial"/>
          <w:i/>
          <w:sz w:val="20"/>
          <w:szCs w:val="20"/>
        </w:rPr>
        <w:t>49</w:t>
      </w:r>
      <w:r>
        <w:rPr>
          <w:rFonts w:ascii="Arial" w:hAnsi="Arial" w:cs="Arial"/>
          <w:i/>
          <w:sz w:val="20"/>
          <w:szCs w:val="20"/>
        </w:rPr>
        <w:t>0</w:t>
      </w:r>
      <w:r w:rsidRPr="00AD52CE">
        <w:rPr>
          <w:rFonts w:ascii="Arial" w:hAnsi="Arial" w:cs="Arial"/>
          <w:i/>
          <w:sz w:val="20"/>
          <w:szCs w:val="20"/>
        </w:rPr>
        <w:t>,- (zzgl. 20% MwSt.) bei RegioData erhältlich. Nähere Informationen unter www.regiodata.eu</w:t>
      </w:r>
    </w:p>
    <w:p w14:paraId="2C86E7EC" w14:textId="77777777" w:rsidR="00AD52CE" w:rsidRPr="003D1F9F" w:rsidRDefault="001F4744" w:rsidP="00F35516">
      <w:pPr>
        <w:spacing w:line="240" w:lineRule="auto"/>
        <w:jc w:val="center"/>
        <w:rPr>
          <w:rFonts w:cs="Tahoma"/>
          <w:sz w:val="20"/>
          <w:lang w:eastAsia="de-DE"/>
        </w:rPr>
      </w:pPr>
      <w:r w:rsidRPr="00F16748">
        <w:rPr>
          <w:rFonts w:ascii="Arial" w:hAnsi="Arial" w:cs="Arial"/>
          <w:i/>
          <w:sz w:val="20"/>
          <w:szCs w:val="20"/>
        </w:rPr>
        <w:t xml:space="preserve">Die </w:t>
      </w:r>
      <w:r w:rsidRPr="00F16748">
        <w:rPr>
          <w:rFonts w:ascii="Arial" w:hAnsi="Arial" w:cs="Arial"/>
          <w:b/>
          <w:bCs/>
          <w:i/>
          <w:sz w:val="20"/>
          <w:szCs w:val="20"/>
        </w:rPr>
        <w:t>RegioData Research GmbH</w:t>
      </w:r>
      <w:r w:rsidRPr="00F16748">
        <w:rPr>
          <w:rFonts w:ascii="Arial" w:hAnsi="Arial" w:cs="Arial"/>
          <w:i/>
          <w:sz w:val="20"/>
          <w:szCs w:val="20"/>
        </w:rPr>
        <w:t xml:space="preserve"> mit Sitz in Wien und München ist Spezialist bei regionalen Wir</w:t>
      </w:r>
      <w:r w:rsidRPr="00F16748">
        <w:rPr>
          <w:rFonts w:ascii="Arial" w:hAnsi="Arial" w:cs="Arial"/>
          <w:i/>
          <w:sz w:val="20"/>
          <w:szCs w:val="20"/>
        </w:rPr>
        <w:t>t</w:t>
      </w:r>
      <w:r w:rsidRPr="00F16748">
        <w:rPr>
          <w:rFonts w:ascii="Arial" w:hAnsi="Arial" w:cs="Arial"/>
          <w:i/>
          <w:sz w:val="20"/>
          <w:szCs w:val="20"/>
        </w:rPr>
        <w:t>schaftsdaten in Europa. Wir liefern Entscheidungsgrundlagen für Handel, Real Estate und Finanzi</w:t>
      </w:r>
      <w:r w:rsidRPr="00F16748">
        <w:rPr>
          <w:rFonts w:ascii="Arial" w:hAnsi="Arial" w:cs="Arial"/>
          <w:i/>
          <w:sz w:val="20"/>
          <w:szCs w:val="20"/>
        </w:rPr>
        <w:t>e</w:t>
      </w:r>
      <w:r w:rsidRPr="00F16748">
        <w:rPr>
          <w:rFonts w:ascii="Arial" w:hAnsi="Arial" w:cs="Arial"/>
          <w:i/>
          <w:sz w:val="20"/>
          <w:szCs w:val="20"/>
        </w:rPr>
        <w:t>rung. Aktuell, klar und sicher.</w:t>
      </w:r>
    </w:p>
    <w:sectPr w:rsidR="00AD52CE" w:rsidRPr="003D1F9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7DAAB" w14:textId="77777777" w:rsidR="002775D9" w:rsidRDefault="002775D9" w:rsidP="0003725A">
      <w:pPr>
        <w:spacing w:after="0" w:line="240" w:lineRule="auto"/>
      </w:pPr>
      <w:r>
        <w:separator/>
      </w:r>
    </w:p>
  </w:endnote>
  <w:endnote w:type="continuationSeparator" w:id="0">
    <w:p w14:paraId="2FDF95F2" w14:textId="77777777" w:rsidR="002775D9" w:rsidRDefault="002775D9" w:rsidP="0003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35B24" w14:textId="77777777" w:rsidR="002775D9" w:rsidRDefault="002775D9" w:rsidP="0003725A">
      <w:pPr>
        <w:spacing w:after="0" w:line="240" w:lineRule="auto"/>
      </w:pPr>
      <w:r>
        <w:separator/>
      </w:r>
    </w:p>
  </w:footnote>
  <w:footnote w:type="continuationSeparator" w:id="0">
    <w:p w14:paraId="278452BE" w14:textId="77777777" w:rsidR="002775D9" w:rsidRDefault="002775D9" w:rsidP="0003725A">
      <w:pPr>
        <w:spacing w:after="0" w:line="240" w:lineRule="auto"/>
      </w:pPr>
      <w:r>
        <w:continuationSeparator/>
      </w:r>
    </w:p>
  </w:footnote>
  <w:footnote w:id="1">
    <w:p w14:paraId="09292178" w14:textId="77777777" w:rsidR="00217817" w:rsidRPr="00217817" w:rsidRDefault="00217817" w:rsidP="00217817">
      <w:pPr>
        <w:pStyle w:val="Quelle"/>
        <w:spacing w:before="0" w:after="0" w:line="360" w:lineRule="auto"/>
        <w:jc w:val="both"/>
        <w:rPr>
          <w:rFonts w:ascii="Arial" w:eastAsiaTheme="minorHAnsi" w:hAnsi="Arial" w:cs="Arial"/>
          <w:sz w:val="16"/>
          <w:szCs w:val="16"/>
          <w:lang w:val="de-AT" w:eastAsia="en-US"/>
        </w:rPr>
      </w:pPr>
      <w:r>
        <w:rPr>
          <w:rStyle w:val="Funotenzeichen"/>
        </w:rPr>
        <w:footnoteRef/>
      </w:r>
      <w:r>
        <w:rPr>
          <w:rFonts w:ascii="Arial" w:hAnsi="Arial" w:cs="Arial"/>
          <w:lang w:val="de-AT" w:eastAsia="de-DE"/>
        </w:rPr>
        <w:t xml:space="preserve"> </w:t>
      </w:r>
      <w:r w:rsidRPr="00217817">
        <w:rPr>
          <w:rFonts w:ascii="Arial" w:hAnsi="Arial" w:cs="Arial"/>
          <w:sz w:val="16"/>
          <w:szCs w:val="16"/>
          <w:lang w:eastAsia="de-DE"/>
        </w:rPr>
        <w:t>Das durchschnittliche verfügbare Einkommen beinhaltet alle Einkunftsarten: Kaufkraft der unselbständig Beschäftigten, Ei</w:t>
      </w:r>
      <w:r w:rsidRPr="00217817">
        <w:rPr>
          <w:rFonts w:ascii="Arial" w:hAnsi="Arial" w:cs="Arial"/>
          <w:sz w:val="16"/>
          <w:szCs w:val="16"/>
          <w:lang w:eastAsia="de-DE"/>
        </w:rPr>
        <w:t>n</w:t>
      </w:r>
      <w:r w:rsidRPr="00217817">
        <w:rPr>
          <w:rFonts w:ascii="Arial" w:hAnsi="Arial" w:cs="Arial"/>
          <w:sz w:val="16"/>
          <w:szCs w:val="16"/>
          <w:lang w:eastAsia="de-DE"/>
        </w:rPr>
        <w:t>künfte der Selbständigen, Land- und Forstwirtschaft, Vermietung und Verpachtung, Einkünfte aus Kapitalvermögen, Transfe</w:t>
      </w:r>
      <w:r w:rsidRPr="00217817">
        <w:rPr>
          <w:rFonts w:ascii="Arial" w:hAnsi="Arial" w:cs="Arial"/>
          <w:sz w:val="16"/>
          <w:szCs w:val="16"/>
          <w:lang w:eastAsia="de-DE"/>
        </w:rPr>
        <w:t>r</w:t>
      </w:r>
      <w:r w:rsidRPr="00217817">
        <w:rPr>
          <w:rFonts w:ascii="Arial" w:hAnsi="Arial" w:cs="Arial"/>
          <w:sz w:val="16"/>
          <w:szCs w:val="16"/>
          <w:lang w:eastAsia="de-DE"/>
        </w:rPr>
        <w:t>zahlungen, etc.</w:t>
      </w:r>
    </w:p>
    <w:p w14:paraId="09F5B85D" w14:textId="77777777" w:rsidR="00217817" w:rsidRDefault="00217817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62E2" w14:textId="77777777" w:rsidR="00CA29F0" w:rsidRDefault="00CA29F0" w:rsidP="0003725A">
    <w:pPr>
      <w:pStyle w:val="Kopfzeile"/>
      <w:tabs>
        <w:tab w:val="left" w:pos="6960"/>
      </w:tabs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8D9E07" wp14:editId="46F43A2D">
              <wp:simplePos x="0" y="0"/>
              <wp:positionH relativeFrom="column">
                <wp:posOffset>-945886</wp:posOffset>
              </wp:positionH>
              <wp:positionV relativeFrom="paragraph">
                <wp:posOffset>397510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E81D6A"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5pt,31.3pt" to="527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89CB4" wp14:editId="22505C64">
              <wp:simplePos x="0" y="0"/>
              <wp:positionH relativeFrom="column">
                <wp:posOffset>-527050</wp:posOffset>
              </wp:positionH>
              <wp:positionV relativeFrom="paragraph">
                <wp:posOffset>-111760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4BC713" w14:textId="77777777" w:rsidR="00CA29F0" w:rsidRPr="00BB17FA" w:rsidRDefault="00CA29F0" w:rsidP="0003725A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</w:pPr>
                          <w:r w:rsidRPr="00BB17FA"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  <w:t>PRESSEMI</w:t>
                          </w:r>
                          <w:r w:rsidR="00C96BDE"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  <w:t>T</w:t>
                          </w:r>
                          <w:r w:rsidRPr="00BB17FA"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  <w:t>TEILUNG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689CB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41.5pt;margin-top:-8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" filled="f" stroked="f" strokeweight=".5pt">
              <v:textbox>
                <w:txbxContent>
                  <w:p w14:paraId="684BC713" w14:textId="77777777" w:rsidR="00CA29F0" w:rsidRPr="00BB17FA" w:rsidRDefault="00CA29F0" w:rsidP="0003725A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</w:pPr>
                    <w:r w:rsidRPr="00BB17FA"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PRESSEMI</w:t>
                    </w:r>
                    <w:r w:rsidR="00C96BDE"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T</w:t>
                    </w:r>
                    <w:r w:rsidRPr="00BB17FA"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FF5283D" wp14:editId="7B15AA09">
          <wp:simplePos x="0" y="0"/>
          <wp:positionH relativeFrom="column">
            <wp:posOffset>3840480</wp:posOffset>
          </wp:positionH>
          <wp:positionV relativeFrom="paragraph">
            <wp:posOffset>-284480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590E34A4" w14:textId="77777777" w:rsidR="00CA29F0" w:rsidRDefault="00CA29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F7"/>
    <w:rsid w:val="000035A5"/>
    <w:rsid w:val="00004A31"/>
    <w:rsid w:val="00012EC2"/>
    <w:rsid w:val="0003725A"/>
    <w:rsid w:val="00041588"/>
    <w:rsid w:val="00042521"/>
    <w:rsid w:val="00043C76"/>
    <w:rsid w:val="00047098"/>
    <w:rsid w:val="000557A3"/>
    <w:rsid w:val="00063E2F"/>
    <w:rsid w:val="00070AC2"/>
    <w:rsid w:val="00074538"/>
    <w:rsid w:val="000A1B7C"/>
    <w:rsid w:val="000B68B2"/>
    <w:rsid w:val="000D3ECA"/>
    <w:rsid w:val="000D4F83"/>
    <w:rsid w:val="000E0218"/>
    <w:rsid w:val="000E1A3E"/>
    <w:rsid w:val="000F1879"/>
    <w:rsid w:val="000F3610"/>
    <w:rsid w:val="00101F01"/>
    <w:rsid w:val="00102D1C"/>
    <w:rsid w:val="00107318"/>
    <w:rsid w:val="00126A76"/>
    <w:rsid w:val="00127DA7"/>
    <w:rsid w:val="00136602"/>
    <w:rsid w:val="00142BFD"/>
    <w:rsid w:val="001448EC"/>
    <w:rsid w:val="00144DFB"/>
    <w:rsid w:val="001472C6"/>
    <w:rsid w:val="001707A8"/>
    <w:rsid w:val="00185C09"/>
    <w:rsid w:val="001A065C"/>
    <w:rsid w:val="001A46DE"/>
    <w:rsid w:val="001A56AC"/>
    <w:rsid w:val="001B2E2D"/>
    <w:rsid w:val="001B4CC3"/>
    <w:rsid w:val="001C5EDC"/>
    <w:rsid w:val="001C6ED8"/>
    <w:rsid w:val="001E5906"/>
    <w:rsid w:val="001F4744"/>
    <w:rsid w:val="00216782"/>
    <w:rsid w:val="00217817"/>
    <w:rsid w:val="00231856"/>
    <w:rsid w:val="002348AB"/>
    <w:rsid w:val="00234C9B"/>
    <w:rsid w:val="002350BE"/>
    <w:rsid w:val="0024313E"/>
    <w:rsid w:val="002447AA"/>
    <w:rsid w:val="002470E0"/>
    <w:rsid w:val="002658DD"/>
    <w:rsid w:val="00265A89"/>
    <w:rsid w:val="00271921"/>
    <w:rsid w:val="002775D9"/>
    <w:rsid w:val="002814B1"/>
    <w:rsid w:val="00285686"/>
    <w:rsid w:val="00287054"/>
    <w:rsid w:val="00291CA4"/>
    <w:rsid w:val="002A7F6C"/>
    <w:rsid w:val="002C1B70"/>
    <w:rsid w:val="002C3FAB"/>
    <w:rsid w:val="002C657A"/>
    <w:rsid w:val="00306428"/>
    <w:rsid w:val="003141A2"/>
    <w:rsid w:val="003178C0"/>
    <w:rsid w:val="00347156"/>
    <w:rsid w:val="00354C8D"/>
    <w:rsid w:val="00357B8D"/>
    <w:rsid w:val="003620B6"/>
    <w:rsid w:val="00373EFE"/>
    <w:rsid w:val="003849B2"/>
    <w:rsid w:val="003C03ED"/>
    <w:rsid w:val="003C09F6"/>
    <w:rsid w:val="003D109F"/>
    <w:rsid w:val="003D16E1"/>
    <w:rsid w:val="003D414C"/>
    <w:rsid w:val="003E3C0F"/>
    <w:rsid w:val="003E622E"/>
    <w:rsid w:val="003E750D"/>
    <w:rsid w:val="0040208E"/>
    <w:rsid w:val="0041248D"/>
    <w:rsid w:val="00413C73"/>
    <w:rsid w:val="004205D6"/>
    <w:rsid w:val="004264CE"/>
    <w:rsid w:val="00433B6C"/>
    <w:rsid w:val="00442845"/>
    <w:rsid w:val="0044683A"/>
    <w:rsid w:val="00450E4B"/>
    <w:rsid w:val="00454B21"/>
    <w:rsid w:val="00456A9C"/>
    <w:rsid w:val="00482B47"/>
    <w:rsid w:val="00483367"/>
    <w:rsid w:val="0049282C"/>
    <w:rsid w:val="00496C47"/>
    <w:rsid w:val="004B398D"/>
    <w:rsid w:val="004D5C5D"/>
    <w:rsid w:val="004E1E07"/>
    <w:rsid w:val="004E3ABC"/>
    <w:rsid w:val="004E72F4"/>
    <w:rsid w:val="004F775C"/>
    <w:rsid w:val="00502996"/>
    <w:rsid w:val="00505498"/>
    <w:rsid w:val="0055130A"/>
    <w:rsid w:val="005537F7"/>
    <w:rsid w:val="00554CA5"/>
    <w:rsid w:val="005A55DF"/>
    <w:rsid w:val="005B5DAC"/>
    <w:rsid w:val="005C0A50"/>
    <w:rsid w:val="005C6ACA"/>
    <w:rsid w:val="00623138"/>
    <w:rsid w:val="006300A1"/>
    <w:rsid w:val="00633DAD"/>
    <w:rsid w:val="006357D2"/>
    <w:rsid w:val="00651B40"/>
    <w:rsid w:val="00655493"/>
    <w:rsid w:val="0066676F"/>
    <w:rsid w:val="006942B9"/>
    <w:rsid w:val="006A5B41"/>
    <w:rsid w:val="006A72B5"/>
    <w:rsid w:val="006C7056"/>
    <w:rsid w:val="006D329D"/>
    <w:rsid w:val="006D5CAD"/>
    <w:rsid w:val="006D666D"/>
    <w:rsid w:val="006E20A3"/>
    <w:rsid w:val="006E67BD"/>
    <w:rsid w:val="006F1B94"/>
    <w:rsid w:val="006F3091"/>
    <w:rsid w:val="006F4CA6"/>
    <w:rsid w:val="0071708C"/>
    <w:rsid w:val="007320B8"/>
    <w:rsid w:val="00745746"/>
    <w:rsid w:val="007628AD"/>
    <w:rsid w:val="00765C11"/>
    <w:rsid w:val="00795397"/>
    <w:rsid w:val="007B177F"/>
    <w:rsid w:val="007B312E"/>
    <w:rsid w:val="007D3E4E"/>
    <w:rsid w:val="008148AA"/>
    <w:rsid w:val="00820D5C"/>
    <w:rsid w:val="008218B0"/>
    <w:rsid w:val="00823906"/>
    <w:rsid w:val="00861E89"/>
    <w:rsid w:val="00871821"/>
    <w:rsid w:val="00881C90"/>
    <w:rsid w:val="00883850"/>
    <w:rsid w:val="00886C92"/>
    <w:rsid w:val="00887E16"/>
    <w:rsid w:val="0089334C"/>
    <w:rsid w:val="008A6BBD"/>
    <w:rsid w:val="008B0703"/>
    <w:rsid w:val="008B265D"/>
    <w:rsid w:val="008B4092"/>
    <w:rsid w:val="008C6753"/>
    <w:rsid w:val="008D313F"/>
    <w:rsid w:val="008D4BE8"/>
    <w:rsid w:val="008E1812"/>
    <w:rsid w:val="008E5576"/>
    <w:rsid w:val="0090576C"/>
    <w:rsid w:val="009066DF"/>
    <w:rsid w:val="0091232A"/>
    <w:rsid w:val="00915B6B"/>
    <w:rsid w:val="0091751E"/>
    <w:rsid w:val="00925A30"/>
    <w:rsid w:val="009456F6"/>
    <w:rsid w:val="0094751F"/>
    <w:rsid w:val="009548AD"/>
    <w:rsid w:val="009567B7"/>
    <w:rsid w:val="00960D76"/>
    <w:rsid w:val="00962B62"/>
    <w:rsid w:val="00963520"/>
    <w:rsid w:val="00965D33"/>
    <w:rsid w:val="00965FF4"/>
    <w:rsid w:val="00970E36"/>
    <w:rsid w:val="009719D4"/>
    <w:rsid w:val="0097759B"/>
    <w:rsid w:val="00982C61"/>
    <w:rsid w:val="0098602C"/>
    <w:rsid w:val="009B2C50"/>
    <w:rsid w:val="009B56C5"/>
    <w:rsid w:val="009B5BDB"/>
    <w:rsid w:val="009F4B0A"/>
    <w:rsid w:val="00A11107"/>
    <w:rsid w:val="00A15B18"/>
    <w:rsid w:val="00A17376"/>
    <w:rsid w:val="00A21765"/>
    <w:rsid w:val="00A36D65"/>
    <w:rsid w:val="00A47D97"/>
    <w:rsid w:val="00A52CDB"/>
    <w:rsid w:val="00A552AC"/>
    <w:rsid w:val="00A63A13"/>
    <w:rsid w:val="00A65681"/>
    <w:rsid w:val="00A8581D"/>
    <w:rsid w:val="00AA134F"/>
    <w:rsid w:val="00AB15A0"/>
    <w:rsid w:val="00AB596C"/>
    <w:rsid w:val="00AC55ED"/>
    <w:rsid w:val="00AD3BDB"/>
    <w:rsid w:val="00AD52CE"/>
    <w:rsid w:val="00B04C3F"/>
    <w:rsid w:val="00B15CBC"/>
    <w:rsid w:val="00B432A9"/>
    <w:rsid w:val="00B549D2"/>
    <w:rsid w:val="00B6415E"/>
    <w:rsid w:val="00B7084F"/>
    <w:rsid w:val="00B73774"/>
    <w:rsid w:val="00B73F9B"/>
    <w:rsid w:val="00B84322"/>
    <w:rsid w:val="00B858CB"/>
    <w:rsid w:val="00B9034E"/>
    <w:rsid w:val="00BC41C8"/>
    <w:rsid w:val="00C04689"/>
    <w:rsid w:val="00C1317C"/>
    <w:rsid w:val="00C132B9"/>
    <w:rsid w:val="00C15C7C"/>
    <w:rsid w:val="00C35F88"/>
    <w:rsid w:val="00C5533D"/>
    <w:rsid w:val="00C64ABB"/>
    <w:rsid w:val="00C66A16"/>
    <w:rsid w:val="00C678F9"/>
    <w:rsid w:val="00C70FEF"/>
    <w:rsid w:val="00C72C4B"/>
    <w:rsid w:val="00C81733"/>
    <w:rsid w:val="00C8738F"/>
    <w:rsid w:val="00C96BDE"/>
    <w:rsid w:val="00CA17D0"/>
    <w:rsid w:val="00CA29F0"/>
    <w:rsid w:val="00CA5970"/>
    <w:rsid w:val="00CC692A"/>
    <w:rsid w:val="00CF2946"/>
    <w:rsid w:val="00CF2BBA"/>
    <w:rsid w:val="00D020A2"/>
    <w:rsid w:val="00D0251A"/>
    <w:rsid w:val="00D5072A"/>
    <w:rsid w:val="00D53EEE"/>
    <w:rsid w:val="00D56359"/>
    <w:rsid w:val="00D60434"/>
    <w:rsid w:val="00DA6349"/>
    <w:rsid w:val="00DA7DC8"/>
    <w:rsid w:val="00DB7A16"/>
    <w:rsid w:val="00DC10A3"/>
    <w:rsid w:val="00DD759C"/>
    <w:rsid w:val="00DE6F14"/>
    <w:rsid w:val="00E03894"/>
    <w:rsid w:val="00E10938"/>
    <w:rsid w:val="00E21767"/>
    <w:rsid w:val="00E23246"/>
    <w:rsid w:val="00E30902"/>
    <w:rsid w:val="00E42173"/>
    <w:rsid w:val="00E75DF7"/>
    <w:rsid w:val="00EA6D9D"/>
    <w:rsid w:val="00EC7D24"/>
    <w:rsid w:val="00ED79C7"/>
    <w:rsid w:val="00EF783A"/>
    <w:rsid w:val="00F032D5"/>
    <w:rsid w:val="00F15CA0"/>
    <w:rsid w:val="00F227CB"/>
    <w:rsid w:val="00F35516"/>
    <w:rsid w:val="00F434A2"/>
    <w:rsid w:val="00F44663"/>
    <w:rsid w:val="00F674DE"/>
    <w:rsid w:val="00F9225F"/>
    <w:rsid w:val="00FA1580"/>
    <w:rsid w:val="00FB789D"/>
    <w:rsid w:val="00FC2D2B"/>
    <w:rsid w:val="00FD5E20"/>
    <w:rsid w:val="00FE165F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8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25A"/>
  </w:style>
  <w:style w:type="paragraph" w:styleId="Fuzeile">
    <w:name w:val="footer"/>
    <w:basedOn w:val="Standard"/>
    <w:link w:val="Fu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2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84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1F4744"/>
    <w:pPr>
      <w:spacing w:before="180" w:after="0" w:line="336" w:lineRule="auto"/>
      <w:jc w:val="both"/>
    </w:pPr>
    <w:rPr>
      <w:rFonts w:ascii="Tahoma" w:eastAsia="Times New Roman" w:hAnsi="Tahoma" w:cs="Times New Roman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semiHidden/>
    <w:rsid w:val="001F4744"/>
    <w:rPr>
      <w:rFonts w:ascii="Tahoma" w:eastAsia="Times New Roman" w:hAnsi="Tahoma" w:cs="Times New Roman"/>
      <w:szCs w:val="20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lle">
    <w:name w:val="Quelle"/>
    <w:basedOn w:val="Standard"/>
    <w:next w:val="Standard"/>
    <w:rsid w:val="00C8738F"/>
    <w:pPr>
      <w:spacing w:before="120" w:after="120" w:line="336" w:lineRule="auto"/>
      <w:jc w:val="center"/>
    </w:pPr>
    <w:rPr>
      <w:rFonts w:ascii="Tahoma" w:eastAsia="Times New Roman" w:hAnsi="Tahoma" w:cs="Times New Roman"/>
      <w:sz w:val="20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4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4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4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4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4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3FAB"/>
    <w:pPr>
      <w:spacing w:after="0"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21781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781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1781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178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781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78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25A"/>
  </w:style>
  <w:style w:type="paragraph" w:styleId="Fuzeile">
    <w:name w:val="footer"/>
    <w:basedOn w:val="Standard"/>
    <w:link w:val="Fu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2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84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1F4744"/>
    <w:pPr>
      <w:spacing w:before="180" w:after="0" w:line="336" w:lineRule="auto"/>
      <w:jc w:val="both"/>
    </w:pPr>
    <w:rPr>
      <w:rFonts w:ascii="Tahoma" w:eastAsia="Times New Roman" w:hAnsi="Tahoma" w:cs="Times New Roman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semiHidden/>
    <w:rsid w:val="001F4744"/>
    <w:rPr>
      <w:rFonts w:ascii="Tahoma" w:eastAsia="Times New Roman" w:hAnsi="Tahoma" w:cs="Times New Roman"/>
      <w:szCs w:val="20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lle">
    <w:name w:val="Quelle"/>
    <w:basedOn w:val="Standard"/>
    <w:next w:val="Standard"/>
    <w:rsid w:val="00C8738F"/>
    <w:pPr>
      <w:spacing w:before="120" w:after="120" w:line="336" w:lineRule="auto"/>
      <w:jc w:val="center"/>
    </w:pPr>
    <w:rPr>
      <w:rFonts w:ascii="Tahoma" w:eastAsia="Times New Roman" w:hAnsi="Tahoma" w:cs="Times New Roman"/>
      <w:sz w:val="20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4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4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4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4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4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3FAB"/>
    <w:pPr>
      <w:spacing w:after="0"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21781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781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1781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178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781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7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lihovic@regiodat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7EF4-6A21-49EC-BE62-4C9C6F19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- Wolfgang Richter</dc:creator>
  <cp:lastModifiedBy>RegioData – Amela Salihovic</cp:lastModifiedBy>
  <cp:revision>6</cp:revision>
  <cp:lastPrinted>2023-05-31T11:59:00Z</cp:lastPrinted>
  <dcterms:created xsi:type="dcterms:W3CDTF">2023-11-07T11:10:00Z</dcterms:created>
  <dcterms:modified xsi:type="dcterms:W3CDTF">2023-11-08T09:15:00Z</dcterms:modified>
</cp:coreProperties>
</file>