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25A" w:rsidRDefault="0003725A" w:rsidP="003C03ED">
      <w:pPr>
        <w:pStyle w:val="berschrift1"/>
      </w:pPr>
    </w:p>
    <w:p w:rsidR="0003725A" w:rsidRPr="00615179" w:rsidRDefault="00615179" w:rsidP="0003725A">
      <w:pPr>
        <w:rPr>
          <w:rFonts w:ascii="Arial" w:hAnsi="Arial" w:cs="Arial"/>
          <w:b/>
          <w:bCs/>
          <w:sz w:val="20"/>
          <w:szCs w:val="20"/>
          <w:lang w:val="en-GB"/>
        </w:rPr>
      </w:pPr>
      <w:r w:rsidRPr="00615179">
        <w:rPr>
          <w:rFonts w:ascii="Arial" w:hAnsi="Arial" w:cs="Arial"/>
          <w:bCs/>
          <w:color w:val="009ADB"/>
          <w:spacing w:val="10"/>
          <w:szCs w:val="20"/>
          <w:lang w:val="en-GB"/>
        </w:rPr>
        <w:t>PRESS CONTACT</w:t>
      </w:r>
      <w:r w:rsidR="0003725A" w:rsidRPr="00615179">
        <w:rPr>
          <w:rFonts w:ascii="Arial" w:hAnsi="Arial" w:cs="Arial"/>
          <w:sz w:val="20"/>
          <w:szCs w:val="20"/>
          <w:lang w:val="en-GB"/>
        </w:rPr>
        <w:tab/>
        <w:t xml:space="preserve">            </w:t>
      </w:r>
      <w:r w:rsidR="0003725A" w:rsidRPr="00615179">
        <w:rPr>
          <w:rFonts w:ascii="Arial" w:hAnsi="Arial" w:cs="Arial"/>
          <w:sz w:val="20"/>
          <w:szCs w:val="20"/>
          <w:lang w:val="en-GB"/>
        </w:rPr>
        <w:tab/>
      </w:r>
      <w:r w:rsidR="0003725A" w:rsidRPr="00615179">
        <w:rPr>
          <w:rFonts w:ascii="Arial" w:hAnsi="Arial" w:cs="Arial"/>
          <w:sz w:val="20"/>
          <w:szCs w:val="20"/>
          <w:lang w:val="en-GB"/>
        </w:rPr>
        <w:tab/>
      </w:r>
      <w:r w:rsidR="0003725A" w:rsidRPr="00615179">
        <w:rPr>
          <w:rFonts w:ascii="Arial" w:hAnsi="Arial" w:cs="Arial"/>
          <w:sz w:val="20"/>
          <w:szCs w:val="20"/>
          <w:lang w:val="en-GB"/>
        </w:rPr>
        <w:tab/>
      </w:r>
      <w:r w:rsidR="0003725A" w:rsidRPr="00615179">
        <w:rPr>
          <w:rFonts w:ascii="Arial" w:hAnsi="Arial" w:cs="Arial"/>
          <w:sz w:val="20"/>
          <w:szCs w:val="20"/>
          <w:lang w:val="en-GB"/>
        </w:rPr>
        <w:tab/>
      </w:r>
      <w:r w:rsidR="0003725A" w:rsidRPr="00615179">
        <w:rPr>
          <w:rFonts w:ascii="Arial" w:hAnsi="Arial" w:cs="Arial"/>
          <w:sz w:val="20"/>
          <w:szCs w:val="20"/>
          <w:lang w:val="en-GB"/>
        </w:rPr>
        <w:tab/>
        <w:t xml:space="preserve"> </w:t>
      </w:r>
      <w:r w:rsidR="0003725A" w:rsidRPr="00615179">
        <w:rPr>
          <w:rFonts w:ascii="Arial" w:hAnsi="Arial" w:cs="Arial"/>
          <w:sz w:val="20"/>
          <w:szCs w:val="20"/>
          <w:lang w:val="en-GB"/>
        </w:rPr>
        <w:tab/>
      </w:r>
      <w:r w:rsidRPr="00615179">
        <w:rPr>
          <w:rFonts w:ascii="Arial" w:hAnsi="Arial" w:cs="Arial"/>
          <w:bCs/>
          <w:color w:val="009ADB"/>
          <w:spacing w:val="10"/>
          <w:szCs w:val="20"/>
          <w:lang w:val="en-GB"/>
        </w:rPr>
        <w:t>DATE</w:t>
      </w:r>
      <w:r w:rsidR="0003725A" w:rsidRPr="00615179">
        <w:rPr>
          <w:rFonts w:ascii="Arial" w:hAnsi="Arial" w:cs="Arial"/>
          <w:b/>
          <w:bCs/>
          <w:sz w:val="20"/>
          <w:szCs w:val="20"/>
          <w:lang w:val="en-GB"/>
        </w:rPr>
        <w:tab/>
        <w:t xml:space="preserve"> </w:t>
      </w:r>
    </w:p>
    <w:p w:rsidR="0003725A" w:rsidRPr="00615179" w:rsidRDefault="0003725A" w:rsidP="0003725A">
      <w:pPr>
        <w:rPr>
          <w:rFonts w:ascii="Arial" w:hAnsi="Arial" w:cs="Arial"/>
          <w:color w:val="525556"/>
          <w:sz w:val="20"/>
          <w:szCs w:val="20"/>
          <w:lang w:val="en-GB"/>
        </w:rPr>
      </w:pPr>
      <w:r w:rsidRPr="00615179">
        <w:rPr>
          <w:rFonts w:ascii="Arial" w:hAnsi="Arial" w:cs="Arial"/>
          <w:b/>
          <w:color w:val="525556"/>
          <w:sz w:val="20"/>
          <w:szCs w:val="20"/>
          <w:lang w:val="en-GB"/>
        </w:rPr>
        <w:t xml:space="preserve">RegioData Research GmbH </w:t>
      </w:r>
      <w:r w:rsidRPr="00615179">
        <w:rPr>
          <w:rFonts w:ascii="Arial" w:hAnsi="Arial" w:cs="Arial"/>
          <w:b/>
          <w:color w:val="525556"/>
          <w:sz w:val="20"/>
          <w:szCs w:val="20"/>
          <w:lang w:val="en-GB"/>
        </w:rPr>
        <w:tab/>
      </w:r>
      <w:r w:rsidRPr="00615179">
        <w:rPr>
          <w:rFonts w:ascii="Arial" w:hAnsi="Arial" w:cs="Arial"/>
          <w:b/>
          <w:color w:val="525556"/>
          <w:sz w:val="20"/>
          <w:szCs w:val="20"/>
          <w:lang w:val="en-GB"/>
        </w:rPr>
        <w:tab/>
      </w:r>
      <w:r w:rsidRPr="00615179">
        <w:rPr>
          <w:rFonts w:ascii="Arial" w:hAnsi="Arial" w:cs="Arial"/>
          <w:b/>
          <w:color w:val="525556"/>
          <w:sz w:val="20"/>
          <w:szCs w:val="20"/>
          <w:lang w:val="en-GB"/>
        </w:rPr>
        <w:tab/>
      </w:r>
      <w:r w:rsidRPr="00615179">
        <w:rPr>
          <w:rFonts w:ascii="Arial" w:hAnsi="Arial" w:cs="Arial"/>
          <w:b/>
          <w:color w:val="525556"/>
          <w:sz w:val="20"/>
          <w:szCs w:val="20"/>
          <w:lang w:val="en-GB"/>
        </w:rPr>
        <w:tab/>
      </w:r>
      <w:r w:rsidRPr="00615179">
        <w:rPr>
          <w:rFonts w:ascii="Arial" w:hAnsi="Arial" w:cs="Arial"/>
          <w:b/>
          <w:color w:val="525556"/>
          <w:sz w:val="20"/>
          <w:szCs w:val="20"/>
          <w:lang w:val="en-GB"/>
        </w:rPr>
        <w:tab/>
      </w:r>
      <w:r w:rsidRPr="00615179">
        <w:rPr>
          <w:rFonts w:ascii="Arial" w:hAnsi="Arial" w:cs="Arial"/>
          <w:b/>
          <w:color w:val="525556"/>
          <w:sz w:val="20"/>
          <w:szCs w:val="20"/>
          <w:lang w:val="en-GB"/>
        </w:rPr>
        <w:tab/>
      </w:r>
      <w:r w:rsidR="00615179" w:rsidRPr="00615179">
        <w:rPr>
          <w:rFonts w:ascii="Arial" w:hAnsi="Arial" w:cs="Arial"/>
          <w:b/>
          <w:color w:val="525556"/>
          <w:sz w:val="20"/>
          <w:szCs w:val="20"/>
          <w:lang w:val="en-GB"/>
        </w:rPr>
        <w:t>06 July</w:t>
      </w:r>
      <w:r w:rsidR="002C1B70" w:rsidRPr="00615179">
        <w:rPr>
          <w:rFonts w:ascii="Arial" w:hAnsi="Arial" w:cs="Arial"/>
          <w:b/>
          <w:color w:val="525556"/>
          <w:sz w:val="20"/>
          <w:szCs w:val="20"/>
          <w:lang w:val="en-GB"/>
        </w:rPr>
        <w:t xml:space="preserve"> 2023</w:t>
      </w:r>
      <w:r w:rsidRPr="00615179">
        <w:rPr>
          <w:rFonts w:ascii="Arial" w:hAnsi="Arial" w:cs="Arial"/>
          <w:color w:val="525556"/>
          <w:sz w:val="20"/>
          <w:szCs w:val="20"/>
          <w:lang w:val="en-GB"/>
        </w:rPr>
        <w:br/>
        <w:t>Amela Salihovic, M.A</w:t>
      </w:r>
      <w:proofErr w:type="gramStart"/>
      <w:r w:rsidRPr="00615179">
        <w:rPr>
          <w:rFonts w:ascii="Arial" w:hAnsi="Arial" w:cs="Arial"/>
          <w:color w:val="525556"/>
          <w:sz w:val="20"/>
          <w:szCs w:val="20"/>
          <w:lang w:val="en-GB"/>
        </w:rPr>
        <w:t>.</w:t>
      </w:r>
      <w:proofErr w:type="gramEnd"/>
      <w:r w:rsidRPr="00615179">
        <w:rPr>
          <w:rFonts w:ascii="Arial" w:hAnsi="Arial" w:cs="Arial"/>
          <w:color w:val="525556"/>
          <w:sz w:val="20"/>
          <w:szCs w:val="20"/>
          <w:lang w:val="en-GB"/>
        </w:rPr>
        <w:br/>
      </w:r>
      <w:proofErr w:type="spellStart"/>
      <w:r w:rsidRPr="00615179">
        <w:rPr>
          <w:rFonts w:ascii="Arial" w:hAnsi="Arial" w:cs="Arial"/>
          <w:color w:val="525556"/>
          <w:sz w:val="20"/>
          <w:szCs w:val="20"/>
          <w:lang w:val="en-GB"/>
        </w:rPr>
        <w:t>Theobaldgasse</w:t>
      </w:r>
      <w:proofErr w:type="spellEnd"/>
      <w:r w:rsidRPr="00615179">
        <w:rPr>
          <w:rFonts w:ascii="Arial" w:hAnsi="Arial" w:cs="Arial"/>
          <w:color w:val="525556"/>
          <w:sz w:val="20"/>
          <w:szCs w:val="20"/>
          <w:lang w:val="en-GB"/>
        </w:rPr>
        <w:t xml:space="preserve"> 8 | 1060 </w:t>
      </w:r>
      <w:r w:rsidR="00615179">
        <w:rPr>
          <w:rFonts w:ascii="Arial" w:hAnsi="Arial" w:cs="Arial"/>
          <w:color w:val="525556"/>
          <w:sz w:val="20"/>
          <w:szCs w:val="20"/>
          <w:lang w:val="en-GB"/>
        </w:rPr>
        <w:t>Vienna</w:t>
      </w:r>
      <w:r w:rsidRPr="00615179">
        <w:rPr>
          <w:rFonts w:ascii="Arial" w:hAnsi="Arial" w:cs="Arial"/>
          <w:color w:val="525556"/>
          <w:sz w:val="20"/>
          <w:szCs w:val="20"/>
          <w:lang w:val="en-GB"/>
        </w:rPr>
        <w:br/>
        <w:t>+43 1 585 76 27-50</w:t>
      </w:r>
      <w:r w:rsidRPr="00615179">
        <w:rPr>
          <w:rFonts w:ascii="Arial" w:hAnsi="Arial" w:cs="Arial"/>
          <w:color w:val="525556"/>
          <w:sz w:val="20"/>
          <w:szCs w:val="20"/>
          <w:lang w:val="en-GB"/>
        </w:rPr>
        <w:br/>
      </w:r>
      <w:hyperlink r:id="rId9" w:history="1">
        <w:r w:rsidRPr="00615179">
          <w:rPr>
            <w:rFonts w:ascii="Arial" w:hAnsi="Arial" w:cs="Arial"/>
            <w:color w:val="525556"/>
            <w:sz w:val="20"/>
            <w:szCs w:val="20"/>
            <w:lang w:val="en-GB"/>
          </w:rPr>
          <w:t>a.salihovic@regiodata.eu</w:t>
        </w:r>
      </w:hyperlink>
      <w:r w:rsidRPr="00615179">
        <w:rPr>
          <w:rFonts w:ascii="Arial" w:hAnsi="Arial" w:cs="Arial"/>
          <w:color w:val="525556"/>
          <w:sz w:val="20"/>
          <w:szCs w:val="20"/>
          <w:lang w:val="en-GB"/>
        </w:rPr>
        <w:br/>
        <w:t>www.regiodata.eu</w:t>
      </w:r>
    </w:p>
    <w:p w:rsidR="0003725A" w:rsidRPr="00615179" w:rsidRDefault="0003725A">
      <w:pPr>
        <w:rPr>
          <w:sz w:val="24"/>
          <w:szCs w:val="24"/>
          <w:lang w:val="en-GB"/>
        </w:rPr>
      </w:pPr>
    </w:p>
    <w:p w:rsidR="00D31CFC" w:rsidRPr="00D31CFC" w:rsidRDefault="00D31CFC" w:rsidP="0003725A">
      <w:pPr>
        <w:spacing w:line="360" w:lineRule="auto"/>
        <w:jc w:val="both"/>
        <w:rPr>
          <w:rFonts w:ascii="Arial" w:hAnsi="Arial" w:cs="Arial"/>
          <w:bCs/>
          <w:color w:val="009ADB"/>
          <w:spacing w:val="10"/>
          <w:sz w:val="24"/>
          <w:szCs w:val="20"/>
          <w:lang w:val="en-GB"/>
        </w:rPr>
      </w:pPr>
      <w:r w:rsidRPr="00D31CFC">
        <w:rPr>
          <w:rFonts w:ascii="Arial" w:hAnsi="Arial" w:cs="Arial"/>
          <w:bCs/>
          <w:color w:val="009ADB"/>
          <w:spacing w:val="10"/>
          <w:sz w:val="24"/>
          <w:szCs w:val="20"/>
          <w:lang w:val="en-GB"/>
        </w:rPr>
        <w:t>PURCHASING POWER: AUSTRIA FALLS BEHIND GERMANY IN THE RAN</w:t>
      </w:r>
      <w:r w:rsidRPr="00D31CFC">
        <w:rPr>
          <w:rFonts w:ascii="Arial" w:hAnsi="Arial" w:cs="Arial"/>
          <w:bCs/>
          <w:color w:val="009ADB"/>
          <w:spacing w:val="10"/>
          <w:sz w:val="24"/>
          <w:szCs w:val="20"/>
          <w:lang w:val="en-GB"/>
        </w:rPr>
        <w:t>K</w:t>
      </w:r>
      <w:r w:rsidRPr="00D31CFC">
        <w:rPr>
          <w:rFonts w:ascii="Arial" w:hAnsi="Arial" w:cs="Arial"/>
          <w:bCs/>
          <w:color w:val="009ADB"/>
          <w:spacing w:val="10"/>
          <w:sz w:val="24"/>
          <w:szCs w:val="20"/>
          <w:lang w:val="en-GB"/>
        </w:rPr>
        <w:t>ING</w:t>
      </w:r>
    </w:p>
    <w:p w:rsidR="00A153FC" w:rsidRDefault="00D31CFC" w:rsidP="0003725A">
      <w:pPr>
        <w:spacing w:line="360" w:lineRule="auto"/>
        <w:jc w:val="both"/>
        <w:rPr>
          <w:rFonts w:ascii="Arial" w:hAnsi="Arial" w:cs="Arial"/>
          <w:b/>
          <w:bCs/>
          <w:sz w:val="20"/>
          <w:szCs w:val="20"/>
          <w:lang w:val="de-DE"/>
        </w:rPr>
      </w:pPr>
      <w:r w:rsidRPr="00D31CFC">
        <w:rPr>
          <w:rFonts w:ascii="Arial" w:hAnsi="Arial" w:cs="Arial"/>
          <w:b/>
          <w:bCs/>
          <w:sz w:val="20"/>
          <w:szCs w:val="20"/>
          <w:lang w:val="en-GB"/>
        </w:rPr>
        <w:t xml:space="preserve">RegioData has updated its annual purchasing power study: Austrian purchasing power gains were substantial on average (in nominal terms), but are torpedoed by inflation, even resulting in a slight loss of purchasing power in real terms. </w:t>
      </w:r>
      <w:proofErr w:type="spellStart"/>
      <w:r w:rsidRPr="00D31CFC">
        <w:rPr>
          <w:rFonts w:ascii="Arial" w:hAnsi="Arial" w:cs="Arial"/>
          <w:b/>
          <w:bCs/>
          <w:sz w:val="20"/>
          <w:szCs w:val="20"/>
          <w:lang w:val="de-DE"/>
        </w:rPr>
        <w:t>However</w:t>
      </w:r>
      <w:proofErr w:type="spellEnd"/>
      <w:r w:rsidRPr="00D31CFC">
        <w:rPr>
          <w:rFonts w:ascii="Arial" w:hAnsi="Arial" w:cs="Arial"/>
          <w:b/>
          <w:bCs/>
          <w:sz w:val="20"/>
          <w:szCs w:val="20"/>
          <w:lang w:val="de-DE"/>
        </w:rPr>
        <w:t xml:space="preserve">, </w:t>
      </w:r>
      <w:proofErr w:type="spellStart"/>
      <w:r w:rsidRPr="00D31CFC">
        <w:rPr>
          <w:rFonts w:ascii="Arial" w:hAnsi="Arial" w:cs="Arial"/>
          <w:b/>
          <w:bCs/>
          <w:sz w:val="20"/>
          <w:szCs w:val="20"/>
          <w:lang w:val="de-DE"/>
        </w:rPr>
        <w:t>the</w:t>
      </w:r>
      <w:proofErr w:type="spellEnd"/>
      <w:r w:rsidRPr="00D31CFC">
        <w:rPr>
          <w:rFonts w:ascii="Arial" w:hAnsi="Arial" w:cs="Arial"/>
          <w:b/>
          <w:bCs/>
          <w:sz w:val="20"/>
          <w:szCs w:val="20"/>
          <w:lang w:val="de-DE"/>
        </w:rPr>
        <w:t xml:space="preserve"> </w:t>
      </w:r>
      <w:proofErr w:type="spellStart"/>
      <w:r w:rsidRPr="00D31CFC">
        <w:rPr>
          <w:rFonts w:ascii="Arial" w:hAnsi="Arial" w:cs="Arial"/>
          <w:b/>
          <w:bCs/>
          <w:sz w:val="20"/>
          <w:szCs w:val="20"/>
          <w:lang w:val="de-DE"/>
        </w:rPr>
        <w:t>outlook</w:t>
      </w:r>
      <w:proofErr w:type="spellEnd"/>
      <w:r w:rsidRPr="00D31CFC">
        <w:rPr>
          <w:rFonts w:ascii="Arial" w:hAnsi="Arial" w:cs="Arial"/>
          <w:b/>
          <w:bCs/>
          <w:sz w:val="20"/>
          <w:szCs w:val="20"/>
          <w:lang w:val="de-DE"/>
        </w:rPr>
        <w:t xml:space="preserve"> </w:t>
      </w:r>
      <w:proofErr w:type="spellStart"/>
      <w:r w:rsidRPr="00D31CFC">
        <w:rPr>
          <w:rFonts w:ascii="Arial" w:hAnsi="Arial" w:cs="Arial"/>
          <w:b/>
          <w:bCs/>
          <w:sz w:val="20"/>
          <w:szCs w:val="20"/>
          <w:lang w:val="de-DE"/>
        </w:rPr>
        <w:t>is</w:t>
      </w:r>
      <w:proofErr w:type="spellEnd"/>
      <w:r w:rsidRPr="00D31CFC">
        <w:rPr>
          <w:rFonts w:ascii="Arial" w:hAnsi="Arial" w:cs="Arial"/>
          <w:b/>
          <w:bCs/>
          <w:sz w:val="20"/>
          <w:szCs w:val="20"/>
          <w:lang w:val="de-DE"/>
        </w:rPr>
        <w:t xml:space="preserve"> </w:t>
      </w:r>
      <w:proofErr w:type="spellStart"/>
      <w:r w:rsidRPr="00D31CFC">
        <w:rPr>
          <w:rFonts w:ascii="Arial" w:hAnsi="Arial" w:cs="Arial"/>
          <w:b/>
          <w:bCs/>
          <w:sz w:val="20"/>
          <w:szCs w:val="20"/>
          <w:lang w:val="de-DE"/>
        </w:rPr>
        <w:t>more</w:t>
      </w:r>
      <w:proofErr w:type="spellEnd"/>
      <w:r w:rsidRPr="00D31CFC">
        <w:rPr>
          <w:rFonts w:ascii="Arial" w:hAnsi="Arial" w:cs="Arial"/>
          <w:b/>
          <w:bCs/>
          <w:sz w:val="20"/>
          <w:szCs w:val="20"/>
          <w:lang w:val="de-DE"/>
        </w:rPr>
        <w:t xml:space="preserve"> favorable!</w:t>
      </w:r>
    </w:p>
    <w:p w:rsidR="00D31CFC" w:rsidRDefault="00D31CFC" w:rsidP="0003725A">
      <w:pPr>
        <w:spacing w:line="360" w:lineRule="auto"/>
        <w:jc w:val="both"/>
        <w:rPr>
          <w:rFonts w:ascii="Arial" w:hAnsi="Arial" w:cs="Arial"/>
          <w:b/>
          <w:bCs/>
          <w:sz w:val="20"/>
          <w:szCs w:val="20"/>
          <w:lang w:val="de-DE"/>
        </w:rPr>
      </w:pPr>
    </w:p>
    <w:p w:rsidR="00D31CFC" w:rsidRPr="00D31CFC" w:rsidRDefault="00D31CFC" w:rsidP="003C472F">
      <w:pPr>
        <w:spacing w:line="360" w:lineRule="auto"/>
        <w:jc w:val="both"/>
        <w:rPr>
          <w:rFonts w:ascii="Arial" w:hAnsi="Arial" w:cs="Arial"/>
          <w:bCs/>
          <w:spacing w:val="10"/>
          <w:sz w:val="24"/>
          <w:szCs w:val="20"/>
          <w:lang w:val="en-GB"/>
        </w:rPr>
      </w:pPr>
      <w:r w:rsidRPr="00D31CFC">
        <w:rPr>
          <w:rFonts w:ascii="Arial" w:hAnsi="Arial" w:cs="Arial"/>
          <w:bCs/>
          <w:spacing w:val="10"/>
          <w:sz w:val="24"/>
          <w:szCs w:val="20"/>
          <w:lang w:val="en-GB"/>
        </w:rPr>
        <w:t>Strong nominal increase in Austrian purchasing power</w:t>
      </w:r>
    </w:p>
    <w:p w:rsidR="00D31CFC" w:rsidRPr="00D31CFC" w:rsidRDefault="00D31CFC" w:rsidP="00D31CFC">
      <w:pPr>
        <w:spacing w:line="360" w:lineRule="auto"/>
        <w:jc w:val="both"/>
        <w:rPr>
          <w:rFonts w:ascii="Arial" w:hAnsi="Arial" w:cs="Arial"/>
          <w:bCs/>
          <w:sz w:val="20"/>
          <w:szCs w:val="24"/>
          <w:lang w:val="en-GB"/>
        </w:rPr>
      </w:pPr>
      <w:r w:rsidRPr="00D31CFC">
        <w:rPr>
          <w:rFonts w:ascii="Arial" w:hAnsi="Arial" w:cs="Arial"/>
          <w:bCs/>
          <w:sz w:val="20"/>
          <w:szCs w:val="24"/>
          <w:lang w:val="en-GB"/>
        </w:rPr>
        <w:t xml:space="preserve">In 2022, Austrians had an average purchasing power of €25,163 per capita per year. </w:t>
      </w:r>
      <w:proofErr w:type="spellStart"/>
      <w:r w:rsidRPr="00D31CFC">
        <w:rPr>
          <w:rFonts w:ascii="Arial" w:hAnsi="Arial" w:cs="Arial"/>
          <w:bCs/>
          <w:sz w:val="20"/>
          <w:szCs w:val="24"/>
          <w:lang w:val="en-GB"/>
        </w:rPr>
        <w:t>Nominaly</w:t>
      </w:r>
      <w:proofErr w:type="spellEnd"/>
      <w:r w:rsidRPr="00D31CFC">
        <w:rPr>
          <w:rFonts w:ascii="Arial" w:hAnsi="Arial" w:cs="Arial"/>
          <w:bCs/>
          <w:sz w:val="20"/>
          <w:szCs w:val="24"/>
          <w:lang w:val="en-GB"/>
        </w:rPr>
        <w:t>, this represents an increase of 8.5% compared to the previous year, the highest in 20 years. However, when considering the annual inflation rate of 8.6% in the past year, inflation erodes all the gains, r</w:t>
      </w:r>
      <w:r w:rsidRPr="00D31CFC">
        <w:rPr>
          <w:rFonts w:ascii="Arial" w:hAnsi="Arial" w:cs="Arial"/>
          <w:bCs/>
          <w:sz w:val="20"/>
          <w:szCs w:val="24"/>
          <w:lang w:val="en-GB"/>
        </w:rPr>
        <w:t>e</w:t>
      </w:r>
      <w:r w:rsidRPr="00D31CFC">
        <w:rPr>
          <w:rFonts w:ascii="Arial" w:hAnsi="Arial" w:cs="Arial"/>
          <w:bCs/>
          <w:sz w:val="20"/>
          <w:szCs w:val="24"/>
          <w:lang w:val="en-GB"/>
        </w:rPr>
        <w:t>sulting in a slight negative impact on real purchasing power.</w:t>
      </w:r>
    </w:p>
    <w:p w:rsidR="00D31CFC" w:rsidRPr="00D31CFC" w:rsidRDefault="00D31CFC" w:rsidP="00D31CFC">
      <w:pPr>
        <w:spacing w:line="360" w:lineRule="auto"/>
        <w:jc w:val="both"/>
        <w:rPr>
          <w:rFonts w:ascii="Arial" w:hAnsi="Arial" w:cs="Arial"/>
          <w:bCs/>
          <w:sz w:val="20"/>
          <w:szCs w:val="24"/>
          <w:lang w:val="en-GB"/>
        </w:rPr>
      </w:pPr>
      <w:r w:rsidRPr="00D31CFC">
        <w:rPr>
          <w:rFonts w:ascii="Arial" w:hAnsi="Arial" w:cs="Arial"/>
          <w:bCs/>
          <w:sz w:val="20"/>
          <w:szCs w:val="24"/>
          <w:lang w:val="en-GB"/>
        </w:rPr>
        <w:t>(Purchasing power is defined as the sum of all income sources, including employment income, self-employment income, capital income, rental income, agriculture income, pensions, subsidies, etc. D</w:t>
      </w:r>
      <w:r w:rsidRPr="00D31CFC">
        <w:rPr>
          <w:rFonts w:ascii="Arial" w:hAnsi="Arial" w:cs="Arial"/>
          <w:bCs/>
          <w:sz w:val="20"/>
          <w:szCs w:val="24"/>
          <w:lang w:val="en-GB"/>
        </w:rPr>
        <w:t>e</w:t>
      </w:r>
      <w:r w:rsidRPr="00D31CFC">
        <w:rPr>
          <w:rFonts w:ascii="Arial" w:hAnsi="Arial" w:cs="Arial"/>
          <w:bCs/>
          <w:sz w:val="20"/>
          <w:szCs w:val="24"/>
          <w:lang w:val="en-GB"/>
        </w:rPr>
        <w:t>ducted from this sum are mandatory expenses, such as taxes and social security. Purchasing power refers to the disposable income available.)</w:t>
      </w:r>
    </w:p>
    <w:p w:rsidR="00A153FC" w:rsidRPr="00D31CFC" w:rsidRDefault="00A153FC" w:rsidP="0003725A">
      <w:pPr>
        <w:spacing w:line="360" w:lineRule="auto"/>
        <w:jc w:val="both"/>
        <w:rPr>
          <w:rFonts w:ascii="Arial" w:eastAsia="Times New Roman" w:hAnsi="Arial" w:cs="Arial"/>
          <w:bCs/>
          <w:sz w:val="20"/>
          <w:szCs w:val="20"/>
          <w:lang w:val="en-GB" w:eastAsia="de-DE"/>
        </w:rPr>
      </w:pPr>
    </w:p>
    <w:p w:rsidR="00D31CFC" w:rsidRPr="00D31CFC" w:rsidRDefault="00D31CFC" w:rsidP="003C472F">
      <w:pPr>
        <w:spacing w:line="360" w:lineRule="auto"/>
        <w:jc w:val="both"/>
        <w:rPr>
          <w:rFonts w:ascii="Arial" w:hAnsi="Arial" w:cs="Arial"/>
          <w:bCs/>
          <w:spacing w:val="10"/>
          <w:sz w:val="24"/>
          <w:szCs w:val="20"/>
          <w:lang w:val="en-GB"/>
        </w:rPr>
      </w:pPr>
      <w:r w:rsidRPr="00D31CFC">
        <w:rPr>
          <w:rFonts w:ascii="Arial" w:hAnsi="Arial" w:cs="Arial"/>
          <w:bCs/>
          <w:spacing w:val="10"/>
          <w:sz w:val="24"/>
          <w:szCs w:val="20"/>
          <w:lang w:val="en-GB"/>
        </w:rPr>
        <w:t>European comparison: Germany outpaces Austria</w:t>
      </w:r>
    </w:p>
    <w:p w:rsidR="00D31CFC" w:rsidRDefault="00D31CFC" w:rsidP="003C472F">
      <w:pPr>
        <w:spacing w:line="360" w:lineRule="auto"/>
        <w:jc w:val="both"/>
        <w:rPr>
          <w:lang w:val="en-GB"/>
        </w:rPr>
      </w:pPr>
      <w:r w:rsidRPr="00D31CFC">
        <w:rPr>
          <w:rFonts w:ascii="Arial" w:eastAsia="Times New Roman" w:hAnsi="Arial" w:cs="Arial"/>
          <w:bCs/>
          <w:sz w:val="20"/>
          <w:szCs w:val="20"/>
          <w:lang w:val="en-GB" w:eastAsia="de-DE"/>
        </w:rPr>
        <w:t>The differences in the development of purchasing power at the international level indicate that the economic situation and consumption opportunities vary significantly across different coun</w:t>
      </w:r>
      <w:r w:rsidRPr="00D31CFC">
        <w:rPr>
          <w:rFonts w:ascii="Arial" w:eastAsia="Times New Roman" w:hAnsi="Arial" w:cs="Arial"/>
          <w:bCs/>
          <w:sz w:val="20"/>
          <w:szCs w:val="20"/>
          <w:lang w:val="en-GB" w:eastAsia="de-DE"/>
        </w:rPr>
        <w:t>t</w:t>
      </w:r>
      <w:r w:rsidRPr="00D31CFC">
        <w:rPr>
          <w:rFonts w:ascii="Arial" w:eastAsia="Times New Roman" w:hAnsi="Arial" w:cs="Arial"/>
          <w:bCs/>
          <w:sz w:val="20"/>
          <w:szCs w:val="20"/>
          <w:lang w:val="en-GB" w:eastAsia="de-DE"/>
        </w:rPr>
        <w:t>ries.</w:t>
      </w:r>
      <w:r w:rsidRPr="00D31CFC">
        <w:rPr>
          <w:rFonts w:ascii="Segoe UI" w:hAnsi="Segoe UI" w:cs="Segoe UI"/>
          <w:color w:val="374151"/>
          <w:shd w:val="clear" w:color="auto" w:fill="F7F7F8"/>
          <w:lang w:val="en-GB"/>
        </w:rPr>
        <w:t xml:space="preserve"> </w:t>
      </w:r>
      <w:r w:rsidRPr="00D31CFC">
        <w:rPr>
          <w:rFonts w:ascii="Arial" w:eastAsia="Times New Roman" w:hAnsi="Arial" w:cs="Arial"/>
          <w:bCs/>
          <w:sz w:val="20"/>
          <w:szCs w:val="20"/>
          <w:lang w:val="en-GB" w:eastAsia="de-DE"/>
        </w:rPr>
        <w:t>While a resident of Kosovo has only about €2,400 at their disposal, a Swiss individual has 20 times as much. However, as in previous years, the four countries with the highest purchasing power in Europe remain almost out of reach for the rest: Switzerland, Luxembourg, Iceland, and Norway.</w:t>
      </w:r>
      <w:r w:rsidRPr="00D31CFC">
        <w:rPr>
          <w:lang w:val="en-GB"/>
        </w:rPr>
        <w:t xml:space="preserve"> </w:t>
      </w:r>
    </w:p>
    <w:p w:rsidR="00D31CFC" w:rsidRDefault="00D31CFC" w:rsidP="003C472F">
      <w:pPr>
        <w:spacing w:line="360" w:lineRule="auto"/>
        <w:jc w:val="both"/>
        <w:rPr>
          <w:rFonts w:ascii="Segoe UI" w:hAnsi="Segoe UI" w:cs="Segoe UI"/>
          <w:color w:val="374151"/>
          <w:shd w:val="clear" w:color="auto" w:fill="F7F7F8"/>
          <w:lang w:val="en-GB"/>
        </w:rPr>
      </w:pPr>
      <w:r w:rsidRPr="00D31CFC">
        <w:rPr>
          <w:rFonts w:ascii="Arial" w:eastAsia="Times New Roman" w:hAnsi="Arial" w:cs="Arial"/>
          <w:bCs/>
          <w:sz w:val="20"/>
          <w:szCs w:val="20"/>
          <w:lang w:val="en-GB" w:eastAsia="de-DE"/>
        </w:rPr>
        <w:t>Although Austria was able to maintain its 8th place in the European rankings, this year it fell behind Germany again for the first time. In recent years, Austria has always been just ahead of Germany, but the effects of the Cor</w:t>
      </w:r>
      <w:r w:rsidRPr="00D31CFC">
        <w:rPr>
          <w:rFonts w:ascii="Arial" w:eastAsia="Times New Roman" w:hAnsi="Arial" w:cs="Arial"/>
          <w:bCs/>
          <w:sz w:val="20"/>
          <w:szCs w:val="20"/>
          <w:lang w:val="en-GB" w:eastAsia="de-DE"/>
        </w:rPr>
        <w:t>o</w:t>
      </w:r>
      <w:r w:rsidRPr="00D31CFC">
        <w:rPr>
          <w:rFonts w:ascii="Arial" w:eastAsia="Times New Roman" w:hAnsi="Arial" w:cs="Arial"/>
          <w:bCs/>
          <w:sz w:val="20"/>
          <w:szCs w:val="20"/>
          <w:lang w:val="en-GB" w:eastAsia="de-DE"/>
        </w:rPr>
        <w:t>na pandemic seem to have played a decisive role here.</w:t>
      </w:r>
      <w:r w:rsidRPr="00D31CFC">
        <w:rPr>
          <w:rFonts w:ascii="Segoe UI" w:hAnsi="Segoe UI" w:cs="Segoe UI"/>
          <w:color w:val="374151"/>
          <w:shd w:val="clear" w:color="auto" w:fill="F7F7F8"/>
          <w:lang w:val="en-GB"/>
        </w:rPr>
        <w:t xml:space="preserve"> </w:t>
      </w:r>
      <w:r w:rsidRPr="00D31CFC">
        <w:rPr>
          <w:rFonts w:ascii="Arial" w:eastAsia="Times New Roman" w:hAnsi="Arial" w:cs="Arial"/>
          <w:bCs/>
          <w:sz w:val="20"/>
          <w:szCs w:val="20"/>
          <w:lang w:val="en-GB" w:eastAsia="de-DE"/>
        </w:rPr>
        <w:t xml:space="preserve">Germany seems to </w:t>
      </w:r>
      <w:r w:rsidRPr="00D31CFC">
        <w:rPr>
          <w:rFonts w:ascii="Arial" w:eastAsia="Times New Roman" w:hAnsi="Arial" w:cs="Arial"/>
          <w:bCs/>
          <w:sz w:val="20"/>
          <w:szCs w:val="20"/>
          <w:lang w:val="en-GB" w:eastAsia="de-DE"/>
        </w:rPr>
        <w:lastRenderedPageBreak/>
        <w:t>have better managed the challenges of the pandemic and achieved faster economic recovery, resul</w:t>
      </w:r>
      <w:r w:rsidRPr="00D31CFC">
        <w:rPr>
          <w:rFonts w:ascii="Arial" w:eastAsia="Times New Roman" w:hAnsi="Arial" w:cs="Arial"/>
          <w:bCs/>
          <w:sz w:val="20"/>
          <w:szCs w:val="20"/>
          <w:lang w:val="en-GB" w:eastAsia="de-DE"/>
        </w:rPr>
        <w:t>t</w:t>
      </w:r>
      <w:r w:rsidRPr="00D31CFC">
        <w:rPr>
          <w:rFonts w:ascii="Arial" w:eastAsia="Times New Roman" w:hAnsi="Arial" w:cs="Arial"/>
          <w:bCs/>
          <w:sz w:val="20"/>
          <w:szCs w:val="20"/>
          <w:lang w:val="en-GB" w:eastAsia="de-DE"/>
        </w:rPr>
        <w:t>ing in a stronger increase in purchasing power.</w:t>
      </w:r>
      <w:r w:rsidRPr="00D31CFC">
        <w:rPr>
          <w:rFonts w:ascii="Segoe UI" w:hAnsi="Segoe UI" w:cs="Segoe UI"/>
          <w:color w:val="374151"/>
          <w:shd w:val="clear" w:color="auto" w:fill="F7F7F8"/>
          <w:lang w:val="en-GB"/>
        </w:rPr>
        <w:t xml:space="preserve"> </w:t>
      </w:r>
    </w:p>
    <w:p w:rsidR="003218D1" w:rsidRDefault="00D31CFC" w:rsidP="003C472F">
      <w:pPr>
        <w:spacing w:line="360" w:lineRule="auto"/>
        <w:jc w:val="both"/>
        <w:rPr>
          <w:rFonts w:ascii="Arial" w:eastAsia="Times New Roman" w:hAnsi="Arial" w:cs="Arial"/>
          <w:bCs/>
          <w:sz w:val="20"/>
          <w:szCs w:val="20"/>
          <w:lang w:val="en-GB" w:eastAsia="de-DE"/>
        </w:rPr>
      </w:pPr>
      <w:r w:rsidRPr="00D31CFC">
        <w:rPr>
          <w:rFonts w:ascii="Arial" w:eastAsia="Times New Roman" w:hAnsi="Arial" w:cs="Arial"/>
          <w:bCs/>
          <w:sz w:val="20"/>
          <w:szCs w:val="20"/>
          <w:lang w:val="en-GB" w:eastAsia="de-DE"/>
        </w:rPr>
        <w:t>Sweden has now slipped from its long-standing pos</w:t>
      </w:r>
      <w:r w:rsidRPr="00D31CFC">
        <w:rPr>
          <w:rFonts w:ascii="Arial" w:eastAsia="Times New Roman" w:hAnsi="Arial" w:cs="Arial"/>
          <w:bCs/>
          <w:sz w:val="20"/>
          <w:szCs w:val="20"/>
          <w:lang w:val="en-GB" w:eastAsia="de-DE"/>
        </w:rPr>
        <w:t>i</w:t>
      </w:r>
      <w:r w:rsidRPr="00D31CFC">
        <w:rPr>
          <w:rFonts w:ascii="Arial" w:eastAsia="Times New Roman" w:hAnsi="Arial" w:cs="Arial"/>
          <w:bCs/>
          <w:sz w:val="20"/>
          <w:szCs w:val="20"/>
          <w:lang w:val="en-GB" w:eastAsia="de-DE"/>
        </w:rPr>
        <w:t>tion in the midfield to 10th place in the ranking, with an annual per capita purchasing power of approximately €24,000. Thus, an average Swiss ind</w:t>
      </w:r>
      <w:r w:rsidRPr="00D31CFC">
        <w:rPr>
          <w:rFonts w:ascii="Arial" w:eastAsia="Times New Roman" w:hAnsi="Arial" w:cs="Arial"/>
          <w:bCs/>
          <w:sz w:val="20"/>
          <w:szCs w:val="20"/>
          <w:lang w:val="en-GB" w:eastAsia="de-DE"/>
        </w:rPr>
        <w:t>i</w:t>
      </w:r>
      <w:r w:rsidRPr="00D31CFC">
        <w:rPr>
          <w:rFonts w:ascii="Arial" w:eastAsia="Times New Roman" w:hAnsi="Arial" w:cs="Arial"/>
          <w:bCs/>
          <w:sz w:val="20"/>
          <w:szCs w:val="20"/>
          <w:lang w:val="en-GB" w:eastAsia="de-DE"/>
        </w:rPr>
        <w:t>vidual has almost twice as much financial resource available as an average resident of Sweden.</w:t>
      </w:r>
    </w:p>
    <w:p w:rsidR="00D31CFC" w:rsidRPr="00D31CFC" w:rsidRDefault="00D31CFC" w:rsidP="003C472F">
      <w:pPr>
        <w:spacing w:line="360" w:lineRule="auto"/>
        <w:jc w:val="both"/>
        <w:rPr>
          <w:rFonts w:ascii="Arial" w:eastAsia="Times New Roman" w:hAnsi="Arial" w:cs="Arial"/>
          <w:bCs/>
          <w:sz w:val="20"/>
          <w:szCs w:val="20"/>
          <w:lang w:val="en-GB" w:eastAsia="de-DE"/>
        </w:rPr>
      </w:pPr>
    </w:p>
    <w:p w:rsidR="00F97D6A" w:rsidRDefault="008A4551" w:rsidP="003C472F">
      <w:pPr>
        <w:spacing w:line="360" w:lineRule="auto"/>
        <w:jc w:val="both"/>
        <w:rPr>
          <w:rFonts w:ascii="Arial" w:hAnsi="Arial" w:cs="Arial"/>
          <w:bCs/>
          <w:spacing w:val="10"/>
          <w:sz w:val="24"/>
          <w:szCs w:val="20"/>
          <w:lang w:val="de-DE"/>
        </w:rPr>
      </w:pPr>
      <w:r w:rsidRPr="008A4551">
        <w:rPr>
          <w:rFonts w:ascii="Arial" w:hAnsi="Arial" w:cs="Arial"/>
          <w:bCs/>
          <w:spacing w:val="10"/>
          <w:sz w:val="24"/>
          <w:szCs w:val="20"/>
          <w:lang w:val="de-DE"/>
        </w:rPr>
        <w:drawing>
          <wp:inline distT="0" distB="0" distL="0" distR="0" wp14:anchorId="30CCE460" wp14:editId="2F07D6AC">
            <wp:extent cx="5760720" cy="3238032"/>
            <wp:effectExtent l="19050" t="19050" r="11430" b="196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60720" cy="3238032"/>
                    </a:xfrm>
                    <a:prstGeom prst="rect">
                      <a:avLst/>
                    </a:prstGeom>
                    <a:ln w="3175">
                      <a:solidFill>
                        <a:schemeClr val="bg1">
                          <a:lumMod val="85000"/>
                        </a:schemeClr>
                      </a:solidFill>
                    </a:ln>
                  </pic:spPr>
                </pic:pic>
              </a:graphicData>
            </a:graphic>
          </wp:inline>
        </w:drawing>
      </w:r>
    </w:p>
    <w:p w:rsidR="00A153FC" w:rsidRDefault="00A153FC" w:rsidP="006A12E0">
      <w:pPr>
        <w:spacing w:line="360" w:lineRule="auto"/>
        <w:rPr>
          <w:rFonts w:ascii="Arial" w:hAnsi="Arial" w:cs="Arial"/>
          <w:bCs/>
          <w:spacing w:val="10"/>
          <w:sz w:val="24"/>
          <w:szCs w:val="20"/>
          <w:lang w:val="de-DE"/>
        </w:rPr>
      </w:pPr>
    </w:p>
    <w:p w:rsidR="00D31CFC" w:rsidRPr="00D31CFC" w:rsidRDefault="00D31CFC" w:rsidP="0003725A">
      <w:pPr>
        <w:spacing w:line="360" w:lineRule="auto"/>
        <w:jc w:val="both"/>
        <w:rPr>
          <w:rFonts w:ascii="Arial" w:hAnsi="Arial" w:cs="Arial"/>
          <w:bCs/>
          <w:spacing w:val="10"/>
          <w:sz w:val="24"/>
          <w:szCs w:val="20"/>
          <w:lang w:val="en-GB"/>
        </w:rPr>
      </w:pPr>
      <w:r w:rsidRPr="00D31CFC">
        <w:rPr>
          <w:rFonts w:ascii="Arial" w:hAnsi="Arial" w:cs="Arial"/>
          <w:bCs/>
          <w:spacing w:val="10"/>
          <w:sz w:val="24"/>
          <w:szCs w:val="20"/>
          <w:lang w:val="en-GB"/>
        </w:rPr>
        <w:t>Lower Austria is number 1, Carinthia remains in last pla</w:t>
      </w:r>
      <w:r>
        <w:rPr>
          <w:rFonts w:ascii="Arial" w:hAnsi="Arial" w:cs="Arial"/>
          <w:bCs/>
          <w:spacing w:val="10"/>
          <w:sz w:val="24"/>
          <w:szCs w:val="20"/>
          <w:lang w:val="en-GB"/>
        </w:rPr>
        <w:t>ce</w:t>
      </w:r>
    </w:p>
    <w:p w:rsidR="007C7592" w:rsidRDefault="00A56A90" w:rsidP="00A56A90">
      <w:pPr>
        <w:spacing w:line="360" w:lineRule="auto"/>
        <w:jc w:val="both"/>
        <w:rPr>
          <w:noProof/>
          <w:lang w:val="en-GB" w:eastAsia="de-AT"/>
        </w:rPr>
      </w:pPr>
      <w:r w:rsidRPr="00A56A90">
        <w:rPr>
          <w:rFonts w:ascii="Arial" w:eastAsia="Times New Roman" w:hAnsi="Arial" w:cs="Arial"/>
          <w:bCs/>
          <w:sz w:val="20"/>
          <w:szCs w:val="20"/>
          <w:lang w:val="en-GB" w:eastAsia="de-DE"/>
        </w:rPr>
        <w:t>The ranking of purchasing power in Austria's federal states has not changed significantly either. Lower Austria remains the federal state with the highest purchasing power, with an absolute purchasing power of €26,222 per capita per year, benefiting from the "</w:t>
      </w:r>
      <w:proofErr w:type="spellStart"/>
      <w:r>
        <w:rPr>
          <w:rFonts w:ascii="Arial" w:eastAsia="Times New Roman" w:hAnsi="Arial" w:cs="Arial"/>
          <w:bCs/>
          <w:sz w:val="20"/>
          <w:szCs w:val="20"/>
          <w:lang w:val="en-GB" w:eastAsia="de-DE"/>
        </w:rPr>
        <w:t>Speckgürtel</w:t>
      </w:r>
      <w:proofErr w:type="spellEnd"/>
      <w:r w:rsidRPr="00A56A90">
        <w:rPr>
          <w:rFonts w:ascii="Arial" w:eastAsia="Times New Roman" w:hAnsi="Arial" w:cs="Arial"/>
          <w:bCs/>
          <w:sz w:val="20"/>
          <w:szCs w:val="20"/>
          <w:lang w:val="en-GB" w:eastAsia="de-DE"/>
        </w:rPr>
        <w:t>" around Vienna. The Austrian t</w:t>
      </w:r>
      <w:r>
        <w:rPr>
          <w:rFonts w:ascii="Arial" w:eastAsia="Times New Roman" w:hAnsi="Arial" w:cs="Arial"/>
          <w:bCs/>
          <w:sz w:val="20"/>
          <w:szCs w:val="20"/>
          <w:lang w:val="en-GB" w:eastAsia="de-DE"/>
        </w:rPr>
        <w:t xml:space="preserve">ourism hotspots, </w:t>
      </w:r>
      <w:r w:rsidRPr="00A56A90">
        <w:rPr>
          <w:rFonts w:ascii="Arial" w:eastAsia="Times New Roman" w:hAnsi="Arial" w:cs="Arial"/>
          <w:bCs/>
          <w:sz w:val="20"/>
          <w:szCs w:val="20"/>
          <w:lang w:val="en-GB" w:eastAsia="de-DE"/>
        </w:rPr>
        <w:t>Tyrol and Salzburg, as well as Vienna to a lesser extent</w:t>
      </w:r>
      <w:r>
        <w:rPr>
          <w:rFonts w:ascii="Arial" w:eastAsia="Times New Roman" w:hAnsi="Arial" w:cs="Arial"/>
          <w:bCs/>
          <w:sz w:val="20"/>
          <w:szCs w:val="20"/>
          <w:lang w:val="en-GB" w:eastAsia="de-DE"/>
        </w:rPr>
        <w:t>,</w:t>
      </w:r>
      <w:r w:rsidRPr="00A56A90">
        <w:rPr>
          <w:rFonts w:ascii="Arial" w:eastAsia="Times New Roman" w:hAnsi="Arial" w:cs="Arial"/>
          <w:bCs/>
          <w:sz w:val="20"/>
          <w:szCs w:val="20"/>
          <w:lang w:val="en-GB" w:eastAsia="de-DE"/>
        </w:rPr>
        <w:t xml:space="preserve"> are experiencing the afte</w:t>
      </w:r>
      <w:r w:rsidRPr="00A56A90">
        <w:rPr>
          <w:rFonts w:ascii="Arial" w:eastAsia="Times New Roman" w:hAnsi="Arial" w:cs="Arial"/>
          <w:bCs/>
          <w:sz w:val="20"/>
          <w:szCs w:val="20"/>
          <w:lang w:val="en-GB" w:eastAsia="de-DE"/>
        </w:rPr>
        <w:t>r</w:t>
      </w:r>
      <w:r w:rsidRPr="00A56A90">
        <w:rPr>
          <w:rFonts w:ascii="Arial" w:eastAsia="Times New Roman" w:hAnsi="Arial" w:cs="Arial"/>
          <w:bCs/>
          <w:sz w:val="20"/>
          <w:szCs w:val="20"/>
          <w:lang w:val="en-GB" w:eastAsia="de-DE"/>
        </w:rPr>
        <w:t xml:space="preserve">effects of the COVID-19 crisis: The average purchasing power is developing slightly less strongly than </w:t>
      </w:r>
      <w:r w:rsidRPr="00A56A90">
        <w:rPr>
          <w:rFonts w:ascii="Arial" w:eastAsia="Times New Roman" w:hAnsi="Arial" w:cs="Arial"/>
          <w:bCs/>
          <w:sz w:val="20"/>
          <w:szCs w:val="20"/>
          <w:lang w:val="en-GB" w:eastAsia="de-DE"/>
        </w:rPr>
        <w:lastRenderedPageBreak/>
        <w:t>expected.</w:t>
      </w:r>
      <w:r w:rsidR="008A4551" w:rsidRPr="008A4551">
        <w:rPr>
          <w:noProof/>
          <w:lang w:val="en-GB" w:eastAsia="de-AT"/>
        </w:rPr>
        <w:t xml:space="preserve"> </w:t>
      </w:r>
    </w:p>
    <w:p w:rsidR="00F40CDB" w:rsidRPr="00A56A90" w:rsidRDefault="008A4551" w:rsidP="00A56A90">
      <w:pPr>
        <w:spacing w:line="360" w:lineRule="auto"/>
        <w:jc w:val="both"/>
        <w:rPr>
          <w:rFonts w:ascii="Arial" w:hAnsi="Arial" w:cs="Arial"/>
          <w:bCs/>
          <w:spacing w:val="10"/>
          <w:sz w:val="24"/>
          <w:szCs w:val="20"/>
          <w:lang w:val="en-GB"/>
        </w:rPr>
      </w:pPr>
      <w:r w:rsidRPr="008A4551">
        <w:rPr>
          <w:rFonts w:ascii="Arial" w:eastAsia="Times New Roman" w:hAnsi="Arial" w:cs="Arial"/>
          <w:bCs/>
          <w:sz w:val="20"/>
          <w:szCs w:val="20"/>
          <w:lang w:val="en-GB" w:eastAsia="de-DE"/>
        </w:rPr>
        <w:drawing>
          <wp:inline distT="0" distB="0" distL="0" distR="0" wp14:anchorId="60610508" wp14:editId="5946B2DF">
            <wp:extent cx="5760720" cy="3231907"/>
            <wp:effectExtent l="19050" t="19050" r="11430" b="260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60720" cy="3231907"/>
                    </a:xfrm>
                    <a:prstGeom prst="rect">
                      <a:avLst/>
                    </a:prstGeom>
                    <a:ln>
                      <a:solidFill>
                        <a:schemeClr val="bg1">
                          <a:lumMod val="85000"/>
                        </a:schemeClr>
                      </a:solidFill>
                    </a:ln>
                  </pic:spPr>
                </pic:pic>
              </a:graphicData>
            </a:graphic>
          </wp:inline>
        </w:drawing>
      </w:r>
    </w:p>
    <w:p w:rsidR="00F40CDB" w:rsidRPr="00A56A90" w:rsidRDefault="00F40CDB" w:rsidP="0003725A">
      <w:pPr>
        <w:spacing w:line="360" w:lineRule="auto"/>
        <w:jc w:val="both"/>
        <w:rPr>
          <w:rFonts w:ascii="Arial" w:hAnsi="Arial" w:cs="Arial"/>
          <w:bCs/>
          <w:spacing w:val="10"/>
          <w:sz w:val="24"/>
          <w:szCs w:val="20"/>
          <w:lang w:val="en-GB"/>
        </w:rPr>
      </w:pPr>
    </w:p>
    <w:p w:rsidR="00D31CFC" w:rsidRDefault="00D31CFC" w:rsidP="00092E73">
      <w:pPr>
        <w:spacing w:line="360" w:lineRule="auto"/>
        <w:jc w:val="both"/>
        <w:rPr>
          <w:rFonts w:ascii="Arial" w:hAnsi="Arial" w:cs="Arial"/>
          <w:bCs/>
          <w:spacing w:val="10"/>
          <w:sz w:val="24"/>
          <w:szCs w:val="20"/>
          <w:lang w:val="de-DE"/>
        </w:rPr>
      </w:pPr>
      <w:proofErr w:type="spellStart"/>
      <w:r w:rsidRPr="00D31CFC">
        <w:rPr>
          <w:rFonts w:ascii="Arial" w:hAnsi="Arial" w:cs="Arial"/>
          <w:bCs/>
          <w:spacing w:val="10"/>
          <w:sz w:val="24"/>
          <w:szCs w:val="20"/>
          <w:lang w:val="de-DE"/>
        </w:rPr>
        <w:t>District</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comparison</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Austria's</w:t>
      </w:r>
      <w:proofErr w:type="spellEnd"/>
      <w:r w:rsidRPr="00D31CFC">
        <w:rPr>
          <w:rFonts w:ascii="Arial" w:hAnsi="Arial" w:cs="Arial"/>
          <w:bCs/>
          <w:spacing w:val="10"/>
          <w:sz w:val="24"/>
          <w:szCs w:val="20"/>
          <w:lang w:val="de-DE"/>
        </w:rPr>
        <w:t xml:space="preserve"> top 5 </w:t>
      </w:r>
      <w:proofErr w:type="spellStart"/>
      <w:r w:rsidRPr="00D31CFC">
        <w:rPr>
          <w:rFonts w:ascii="Arial" w:hAnsi="Arial" w:cs="Arial"/>
          <w:bCs/>
          <w:spacing w:val="10"/>
          <w:sz w:val="24"/>
          <w:szCs w:val="20"/>
          <w:lang w:val="de-DE"/>
        </w:rPr>
        <w:t>districts</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with</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the</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highest</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purchasing</w:t>
      </w:r>
      <w:proofErr w:type="spellEnd"/>
      <w:r w:rsidRPr="00D31CFC">
        <w:rPr>
          <w:rFonts w:ascii="Arial" w:hAnsi="Arial" w:cs="Arial"/>
          <w:bCs/>
          <w:spacing w:val="10"/>
          <w:sz w:val="24"/>
          <w:szCs w:val="20"/>
          <w:lang w:val="de-DE"/>
        </w:rPr>
        <w:t xml:space="preserve"> power </w:t>
      </w:r>
      <w:proofErr w:type="spellStart"/>
      <w:r w:rsidRPr="00D31CFC">
        <w:rPr>
          <w:rFonts w:ascii="Arial" w:hAnsi="Arial" w:cs="Arial"/>
          <w:bCs/>
          <w:spacing w:val="10"/>
          <w:sz w:val="24"/>
          <w:szCs w:val="20"/>
          <w:lang w:val="de-DE"/>
        </w:rPr>
        <w:t>remain</w:t>
      </w:r>
      <w:proofErr w:type="spellEnd"/>
      <w:r w:rsidRPr="00D31CFC">
        <w:rPr>
          <w:rFonts w:ascii="Arial" w:hAnsi="Arial" w:cs="Arial"/>
          <w:bCs/>
          <w:spacing w:val="10"/>
          <w:sz w:val="24"/>
          <w:szCs w:val="20"/>
          <w:lang w:val="de-DE"/>
        </w:rPr>
        <w:t xml:space="preserve"> </w:t>
      </w:r>
      <w:proofErr w:type="spellStart"/>
      <w:r w:rsidRPr="00D31CFC">
        <w:rPr>
          <w:rFonts w:ascii="Arial" w:hAnsi="Arial" w:cs="Arial"/>
          <w:bCs/>
          <w:spacing w:val="10"/>
          <w:sz w:val="24"/>
          <w:szCs w:val="20"/>
          <w:lang w:val="de-DE"/>
        </w:rPr>
        <w:t>constant</w:t>
      </w:r>
      <w:proofErr w:type="spellEnd"/>
    </w:p>
    <w:p w:rsidR="00A56A90" w:rsidRDefault="00A56A90" w:rsidP="00092E73">
      <w:pPr>
        <w:spacing w:line="360" w:lineRule="auto"/>
        <w:jc w:val="both"/>
        <w:rPr>
          <w:rFonts w:ascii="Arial" w:eastAsia="Times New Roman" w:hAnsi="Arial" w:cs="Arial"/>
          <w:bCs/>
          <w:sz w:val="20"/>
          <w:szCs w:val="20"/>
          <w:lang w:val="de-DE" w:eastAsia="de-DE"/>
        </w:rPr>
      </w:pPr>
      <w:r w:rsidRPr="00A56A90">
        <w:rPr>
          <w:rFonts w:ascii="Arial" w:eastAsia="Times New Roman" w:hAnsi="Arial" w:cs="Arial"/>
          <w:bCs/>
          <w:sz w:val="20"/>
          <w:szCs w:val="20"/>
          <w:lang w:val="en-GB" w:eastAsia="de-DE"/>
        </w:rPr>
        <w:t xml:space="preserve">This year, Austria's five wealthiest districts can once again maintain the same position in the rankings. </w:t>
      </w:r>
      <w:r w:rsidRPr="00A56A90">
        <w:rPr>
          <w:rFonts w:ascii="Arial" w:eastAsia="Times New Roman" w:hAnsi="Arial" w:cs="Arial"/>
          <w:bCs/>
          <w:sz w:val="20"/>
          <w:szCs w:val="20"/>
          <w:lang w:val="en-GB" w:eastAsia="de-DE"/>
        </w:rPr>
        <w:t xml:space="preserve">Vienna I retains the top spot, despite a relative decline compared to the previous year, with a nominal purchasing power averaging €40,407 per resident per year. </w:t>
      </w:r>
      <w:r w:rsidRPr="00A56A90">
        <w:rPr>
          <w:rFonts w:ascii="Arial" w:eastAsia="Times New Roman" w:hAnsi="Arial" w:cs="Arial"/>
          <w:bCs/>
          <w:sz w:val="20"/>
          <w:szCs w:val="20"/>
          <w:lang w:val="en-GB" w:eastAsia="de-DE"/>
        </w:rPr>
        <w:t xml:space="preserve">Wien </w:t>
      </w:r>
      <w:proofErr w:type="spellStart"/>
      <w:r w:rsidRPr="00A56A90">
        <w:rPr>
          <w:rFonts w:ascii="Arial" w:eastAsia="Times New Roman" w:hAnsi="Arial" w:cs="Arial"/>
          <w:bCs/>
          <w:sz w:val="20"/>
          <w:szCs w:val="20"/>
          <w:lang w:val="en-GB" w:eastAsia="de-DE"/>
        </w:rPr>
        <w:t>Hietzing</w:t>
      </w:r>
      <w:proofErr w:type="spellEnd"/>
      <w:r w:rsidRPr="00A56A90">
        <w:rPr>
          <w:rFonts w:ascii="Arial" w:eastAsia="Times New Roman" w:hAnsi="Arial" w:cs="Arial"/>
          <w:bCs/>
          <w:sz w:val="20"/>
          <w:szCs w:val="20"/>
          <w:lang w:val="en-GB" w:eastAsia="de-DE"/>
        </w:rPr>
        <w:t xml:space="preserve"> occ</w:t>
      </w:r>
      <w:r w:rsidRPr="00A56A90">
        <w:rPr>
          <w:rFonts w:ascii="Arial" w:eastAsia="Times New Roman" w:hAnsi="Arial" w:cs="Arial"/>
          <w:bCs/>
          <w:sz w:val="20"/>
          <w:szCs w:val="20"/>
          <w:lang w:val="en-GB" w:eastAsia="de-DE"/>
        </w:rPr>
        <w:t>u</w:t>
      </w:r>
      <w:r w:rsidRPr="00A56A90">
        <w:rPr>
          <w:rFonts w:ascii="Arial" w:eastAsia="Times New Roman" w:hAnsi="Arial" w:cs="Arial"/>
          <w:bCs/>
          <w:sz w:val="20"/>
          <w:szCs w:val="20"/>
          <w:lang w:val="en-GB" w:eastAsia="de-DE"/>
        </w:rPr>
        <w:t>pies second place with a purchasing power that is around €8,500 lower. The districts with the highest pu</w:t>
      </w:r>
      <w:r w:rsidRPr="00A56A90">
        <w:rPr>
          <w:rFonts w:ascii="Arial" w:eastAsia="Times New Roman" w:hAnsi="Arial" w:cs="Arial"/>
          <w:bCs/>
          <w:sz w:val="20"/>
          <w:szCs w:val="20"/>
          <w:lang w:val="en-GB" w:eastAsia="de-DE"/>
        </w:rPr>
        <w:t>r</w:t>
      </w:r>
      <w:r w:rsidRPr="00A56A90">
        <w:rPr>
          <w:rFonts w:ascii="Arial" w:eastAsia="Times New Roman" w:hAnsi="Arial" w:cs="Arial"/>
          <w:bCs/>
          <w:sz w:val="20"/>
          <w:szCs w:val="20"/>
          <w:lang w:val="en-GB" w:eastAsia="de-DE"/>
        </w:rPr>
        <w:t xml:space="preserve">chasing power are mainly located in Vienna and Lower Austria. </w:t>
      </w:r>
      <w:r w:rsidRPr="00A56A90">
        <w:rPr>
          <w:rFonts w:ascii="Arial" w:eastAsia="Times New Roman" w:hAnsi="Arial" w:cs="Arial"/>
          <w:bCs/>
          <w:sz w:val="20"/>
          <w:szCs w:val="20"/>
          <w:lang w:val="de-DE" w:eastAsia="de-DE"/>
        </w:rPr>
        <w:t xml:space="preserve">In </w:t>
      </w:r>
      <w:proofErr w:type="spellStart"/>
      <w:r w:rsidRPr="00A56A90">
        <w:rPr>
          <w:rFonts w:ascii="Arial" w:eastAsia="Times New Roman" w:hAnsi="Arial" w:cs="Arial"/>
          <w:bCs/>
          <w:sz w:val="20"/>
          <w:szCs w:val="20"/>
          <w:lang w:val="de-DE" w:eastAsia="de-DE"/>
        </w:rPr>
        <w:t>general</w:t>
      </w:r>
      <w:proofErr w:type="spellEnd"/>
      <w:r w:rsidRPr="00A56A90">
        <w:rPr>
          <w:rFonts w:ascii="Arial" w:eastAsia="Times New Roman" w:hAnsi="Arial" w:cs="Arial"/>
          <w:bCs/>
          <w:sz w:val="20"/>
          <w:szCs w:val="20"/>
          <w:lang w:val="de-DE" w:eastAsia="de-DE"/>
        </w:rPr>
        <w:t xml:space="preserve">, all </w:t>
      </w:r>
      <w:proofErr w:type="spellStart"/>
      <w:r w:rsidRPr="00A56A90">
        <w:rPr>
          <w:rFonts w:ascii="Arial" w:eastAsia="Times New Roman" w:hAnsi="Arial" w:cs="Arial"/>
          <w:bCs/>
          <w:sz w:val="20"/>
          <w:szCs w:val="20"/>
          <w:lang w:val="de-DE" w:eastAsia="de-DE"/>
        </w:rPr>
        <w:t>districts</w:t>
      </w:r>
      <w:proofErr w:type="spellEnd"/>
      <w:r w:rsidRPr="00A56A90">
        <w:rPr>
          <w:rFonts w:ascii="Arial" w:eastAsia="Times New Roman" w:hAnsi="Arial" w:cs="Arial"/>
          <w:bCs/>
          <w:sz w:val="20"/>
          <w:szCs w:val="20"/>
          <w:lang w:val="de-DE" w:eastAsia="de-DE"/>
        </w:rPr>
        <w:t xml:space="preserve"> </w:t>
      </w:r>
      <w:proofErr w:type="spellStart"/>
      <w:r w:rsidRPr="00A56A90">
        <w:rPr>
          <w:rFonts w:ascii="Arial" w:eastAsia="Times New Roman" w:hAnsi="Arial" w:cs="Arial"/>
          <w:bCs/>
          <w:sz w:val="20"/>
          <w:szCs w:val="20"/>
          <w:lang w:val="de-DE" w:eastAsia="de-DE"/>
        </w:rPr>
        <w:t>show</w:t>
      </w:r>
      <w:proofErr w:type="spellEnd"/>
      <w:r w:rsidRPr="00A56A90">
        <w:rPr>
          <w:rFonts w:ascii="Arial" w:eastAsia="Times New Roman" w:hAnsi="Arial" w:cs="Arial"/>
          <w:bCs/>
          <w:sz w:val="20"/>
          <w:szCs w:val="20"/>
          <w:lang w:val="de-DE" w:eastAsia="de-DE"/>
        </w:rPr>
        <w:t xml:space="preserve"> </w:t>
      </w:r>
      <w:proofErr w:type="spellStart"/>
      <w:r w:rsidRPr="00A56A90">
        <w:rPr>
          <w:rFonts w:ascii="Arial" w:eastAsia="Times New Roman" w:hAnsi="Arial" w:cs="Arial"/>
          <w:bCs/>
          <w:sz w:val="20"/>
          <w:szCs w:val="20"/>
          <w:lang w:val="de-DE" w:eastAsia="de-DE"/>
        </w:rPr>
        <w:t>increases</w:t>
      </w:r>
      <w:proofErr w:type="spellEnd"/>
      <w:r w:rsidRPr="00A56A90">
        <w:rPr>
          <w:rFonts w:ascii="Arial" w:eastAsia="Times New Roman" w:hAnsi="Arial" w:cs="Arial"/>
          <w:bCs/>
          <w:sz w:val="20"/>
          <w:szCs w:val="20"/>
          <w:lang w:val="de-DE" w:eastAsia="de-DE"/>
        </w:rPr>
        <w:t xml:space="preserve"> in nominal </w:t>
      </w:r>
      <w:proofErr w:type="spellStart"/>
      <w:r w:rsidRPr="00A56A90">
        <w:rPr>
          <w:rFonts w:ascii="Arial" w:eastAsia="Times New Roman" w:hAnsi="Arial" w:cs="Arial"/>
          <w:bCs/>
          <w:sz w:val="20"/>
          <w:szCs w:val="20"/>
          <w:lang w:val="de-DE" w:eastAsia="de-DE"/>
        </w:rPr>
        <w:t>purc</w:t>
      </w:r>
      <w:r w:rsidRPr="00A56A90">
        <w:rPr>
          <w:rFonts w:ascii="Arial" w:eastAsia="Times New Roman" w:hAnsi="Arial" w:cs="Arial"/>
          <w:bCs/>
          <w:sz w:val="20"/>
          <w:szCs w:val="20"/>
          <w:lang w:val="de-DE" w:eastAsia="de-DE"/>
        </w:rPr>
        <w:t>h</w:t>
      </w:r>
      <w:r w:rsidRPr="00A56A90">
        <w:rPr>
          <w:rFonts w:ascii="Arial" w:eastAsia="Times New Roman" w:hAnsi="Arial" w:cs="Arial"/>
          <w:bCs/>
          <w:sz w:val="20"/>
          <w:szCs w:val="20"/>
          <w:lang w:val="de-DE" w:eastAsia="de-DE"/>
        </w:rPr>
        <w:t>asing</w:t>
      </w:r>
      <w:proofErr w:type="spellEnd"/>
      <w:r w:rsidRPr="00A56A90">
        <w:rPr>
          <w:rFonts w:ascii="Arial" w:eastAsia="Times New Roman" w:hAnsi="Arial" w:cs="Arial"/>
          <w:bCs/>
          <w:sz w:val="20"/>
          <w:szCs w:val="20"/>
          <w:lang w:val="de-DE" w:eastAsia="de-DE"/>
        </w:rPr>
        <w:t xml:space="preserve"> power.</w:t>
      </w:r>
    </w:p>
    <w:p w:rsidR="00A56A90" w:rsidRDefault="00A56A90" w:rsidP="00092E73">
      <w:pPr>
        <w:spacing w:line="360" w:lineRule="auto"/>
        <w:jc w:val="both"/>
        <w:rPr>
          <w:rFonts w:ascii="Arial" w:eastAsia="Times New Roman" w:hAnsi="Arial" w:cs="Arial"/>
          <w:bCs/>
          <w:sz w:val="20"/>
          <w:szCs w:val="20"/>
          <w:lang w:val="en-GB" w:eastAsia="de-DE"/>
        </w:rPr>
      </w:pPr>
      <w:r w:rsidRPr="00A56A90">
        <w:rPr>
          <w:rFonts w:ascii="Arial" w:eastAsia="Times New Roman" w:hAnsi="Arial" w:cs="Arial"/>
          <w:bCs/>
          <w:sz w:val="20"/>
          <w:szCs w:val="20"/>
          <w:lang w:val="en-GB" w:eastAsia="de-DE"/>
        </w:rPr>
        <w:t>Of particular interest is Vienna's unique position, which exhibits extremes in both directions. The cap</w:t>
      </w:r>
      <w:r w:rsidRPr="00A56A90">
        <w:rPr>
          <w:rFonts w:ascii="Arial" w:eastAsia="Times New Roman" w:hAnsi="Arial" w:cs="Arial"/>
          <w:bCs/>
          <w:sz w:val="20"/>
          <w:szCs w:val="20"/>
          <w:lang w:val="en-GB" w:eastAsia="de-DE"/>
        </w:rPr>
        <w:t>i</w:t>
      </w:r>
      <w:r w:rsidRPr="00A56A90">
        <w:rPr>
          <w:rFonts w:ascii="Arial" w:eastAsia="Times New Roman" w:hAnsi="Arial" w:cs="Arial"/>
          <w:bCs/>
          <w:sz w:val="20"/>
          <w:szCs w:val="20"/>
          <w:lang w:val="en-GB" w:eastAsia="de-DE"/>
        </w:rPr>
        <w:t>tal city is home to both the districts with the highest and the lowest purchasing power in the whole of Austria. Each year, Vienna manages to have three districts placed in the top five in both directions, and this year, even four districts, yet it remains comparatively less affluent than other federal st</w:t>
      </w:r>
      <w:r w:rsidRPr="00A56A90">
        <w:rPr>
          <w:rFonts w:ascii="Arial" w:eastAsia="Times New Roman" w:hAnsi="Arial" w:cs="Arial"/>
          <w:bCs/>
          <w:sz w:val="20"/>
          <w:szCs w:val="20"/>
          <w:lang w:val="en-GB" w:eastAsia="de-DE"/>
        </w:rPr>
        <w:t>a</w:t>
      </w:r>
      <w:r w:rsidRPr="00A56A90">
        <w:rPr>
          <w:rFonts w:ascii="Arial" w:eastAsia="Times New Roman" w:hAnsi="Arial" w:cs="Arial"/>
          <w:bCs/>
          <w:sz w:val="20"/>
          <w:szCs w:val="20"/>
          <w:lang w:val="en-GB" w:eastAsia="de-DE"/>
        </w:rPr>
        <w:t>tes.</w:t>
      </w:r>
    </w:p>
    <w:p w:rsidR="006A12E0" w:rsidRPr="00A56A90" w:rsidRDefault="00A56A90" w:rsidP="00092E73">
      <w:pPr>
        <w:spacing w:line="360" w:lineRule="auto"/>
        <w:jc w:val="both"/>
        <w:rPr>
          <w:rFonts w:ascii="Arial" w:eastAsia="Times New Roman" w:hAnsi="Arial" w:cs="Arial"/>
          <w:bCs/>
          <w:sz w:val="20"/>
          <w:szCs w:val="20"/>
          <w:lang w:val="en-GB" w:eastAsia="de-DE"/>
        </w:rPr>
      </w:pPr>
      <w:r w:rsidRPr="00A56A90">
        <w:rPr>
          <w:rFonts w:ascii="Arial" w:eastAsia="Times New Roman" w:hAnsi="Arial" w:cs="Arial"/>
          <w:bCs/>
          <w:sz w:val="20"/>
          <w:szCs w:val="20"/>
          <w:lang w:val="en-GB" w:eastAsia="de-DE"/>
        </w:rPr>
        <w:t xml:space="preserve">Regarding the five districts with the lowest purchasing power, </w:t>
      </w:r>
      <w:proofErr w:type="spellStart"/>
      <w:r w:rsidRPr="00A56A90">
        <w:rPr>
          <w:rFonts w:ascii="Arial" w:eastAsia="Times New Roman" w:hAnsi="Arial" w:cs="Arial"/>
          <w:bCs/>
          <w:sz w:val="20"/>
          <w:szCs w:val="20"/>
          <w:lang w:val="en-GB" w:eastAsia="de-DE"/>
        </w:rPr>
        <w:t>Hermagor</w:t>
      </w:r>
      <w:proofErr w:type="spellEnd"/>
      <w:r w:rsidRPr="00A56A90">
        <w:rPr>
          <w:rFonts w:ascii="Arial" w:eastAsia="Times New Roman" w:hAnsi="Arial" w:cs="Arial"/>
          <w:bCs/>
          <w:sz w:val="20"/>
          <w:szCs w:val="20"/>
          <w:lang w:val="en-GB" w:eastAsia="de-DE"/>
        </w:rPr>
        <w:t xml:space="preserve"> and </w:t>
      </w:r>
      <w:proofErr w:type="spellStart"/>
      <w:r w:rsidRPr="00A56A90">
        <w:rPr>
          <w:rFonts w:ascii="Arial" w:eastAsia="Times New Roman" w:hAnsi="Arial" w:cs="Arial"/>
          <w:bCs/>
          <w:sz w:val="20"/>
          <w:szCs w:val="20"/>
          <w:lang w:val="en-GB" w:eastAsia="de-DE"/>
        </w:rPr>
        <w:t>Lienz</w:t>
      </w:r>
      <w:proofErr w:type="spellEnd"/>
      <w:r w:rsidRPr="00A56A90">
        <w:rPr>
          <w:rFonts w:ascii="Arial" w:eastAsia="Times New Roman" w:hAnsi="Arial" w:cs="Arial"/>
          <w:bCs/>
          <w:sz w:val="20"/>
          <w:szCs w:val="20"/>
          <w:lang w:val="en-GB" w:eastAsia="de-DE"/>
        </w:rPr>
        <w:t xml:space="preserve"> have shown rel</w:t>
      </w:r>
      <w:r w:rsidRPr="00A56A90">
        <w:rPr>
          <w:rFonts w:ascii="Arial" w:eastAsia="Times New Roman" w:hAnsi="Arial" w:cs="Arial"/>
          <w:bCs/>
          <w:sz w:val="20"/>
          <w:szCs w:val="20"/>
          <w:lang w:val="en-GB" w:eastAsia="de-DE"/>
        </w:rPr>
        <w:t>a</w:t>
      </w:r>
      <w:r w:rsidRPr="00A56A90">
        <w:rPr>
          <w:rFonts w:ascii="Arial" w:eastAsia="Times New Roman" w:hAnsi="Arial" w:cs="Arial"/>
          <w:bCs/>
          <w:sz w:val="20"/>
          <w:szCs w:val="20"/>
          <w:lang w:val="en-GB" w:eastAsia="de-DE"/>
        </w:rPr>
        <w:t xml:space="preserve">tive recovery this year and have been replaced by Zwettl and Vienna XI. The bottom positions are once again occupied by </w:t>
      </w:r>
      <w:r>
        <w:rPr>
          <w:rFonts w:ascii="Arial" w:eastAsia="Times New Roman" w:hAnsi="Arial" w:cs="Arial"/>
          <w:bCs/>
          <w:sz w:val="20"/>
          <w:szCs w:val="20"/>
          <w:lang w:val="en-GB" w:eastAsia="de-DE"/>
        </w:rPr>
        <w:t>Viennese</w:t>
      </w:r>
      <w:r w:rsidRPr="00A56A90">
        <w:rPr>
          <w:rFonts w:ascii="Arial" w:eastAsia="Times New Roman" w:hAnsi="Arial" w:cs="Arial"/>
          <w:bCs/>
          <w:sz w:val="20"/>
          <w:szCs w:val="20"/>
          <w:lang w:val="en-GB" w:eastAsia="de-DE"/>
        </w:rPr>
        <w:t xml:space="preserve"> districts.</w:t>
      </w:r>
    </w:p>
    <w:p w:rsidR="007A073E" w:rsidRPr="00A56A90" w:rsidRDefault="007A073E" w:rsidP="00092E73">
      <w:pPr>
        <w:spacing w:line="360" w:lineRule="auto"/>
        <w:jc w:val="both"/>
        <w:rPr>
          <w:rFonts w:ascii="Arial" w:eastAsia="Times New Roman" w:hAnsi="Arial" w:cs="Arial"/>
          <w:bCs/>
          <w:sz w:val="20"/>
          <w:szCs w:val="20"/>
          <w:lang w:val="en-GB" w:eastAsia="de-DE"/>
        </w:rPr>
      </w:pPr>
    </w:p>
    <w:p w:rsidR="007A073E" w:rsidRPr="00A56A90" w:rsidRDefault="007A073E" w:rsidP="00092E73">
      <w:pPr>
        <w:spacing w:line="360" w:lineRule="auto"/>
        <w:jc w:val="both"/>
        <w:rPr>
          <w:rFonts w:ascii="Arial" w:eastAsia="Times New Roman" w:hAnsi="Arial" w:cs="Arial"/>
          <w:bCs/>
          <w:sz w:val="20"/>
          <w:szCs w:val="20"/>
          <w:lang w:val="en-GB" w:eastAsia="de-DE"/>
        </w:rPr>
      </w:pPr>
    </w:p>
    <w:p w:rsidR="007A073E" w:rsidRPr="00A56A90" w:rsidRDefault="007A073E" w:rsidP="00092E73">
      <w:pPr>
        <w:spacing w:line="360" w:lineRule="auto"/>
        <w:jc w:val="both"/>
        <w:rPr>
          <w:rFonts w:ascii="Arial" w:eastAsia="Times New Roman" w:hAnsi="Arial" w:cs="Arial"/>
          <w:bCs/>
          <w:sz w:val="20"/>
          <w:szCs w:val="20"/>
          <w:lang w:val="en-GB" w:eastAsia="de-DE"/>
        </w:rPr>
      </w:pPr>
    </w:p>
    <w:tbl>
      <w:tblPr>
        <w:tblpPr w:leftFromText="141" w:rightFromText="141" w:vertAnchor="text" w:tblpXSpec="center" w:tblpY="1"/>
        <w:tblOverlap w:val="never"/>
        <w:tblW w:w="0" w:type="auto"/>
        <w:tblBorders>
          <w:insideH w:val="single" w:sz="4" w:space="0" w:color="FFFFFF" w:themeColor="background1"/>
          <w:insideV w:val="single" w:sz="4" w:space="0" w:color="FFFFFF" w:themeColor="background1"/>
        </w:tblBorders>
        <w:tblLook w:val="04A0" w:firstRow="1" w:lastRow="0" w:firstColumn="1" w:lastColumn="0" w:noHBand="0" w:noVBand="1"/>
      </w:tblPr>
      <w:tblGrid>
        <w:gridCol w:w="3028"/>
        <w:gridCol w:w="3010"/>
      </w:tblGrid>
      <w:tr w:rsidR="000A20A1" w:rsidRPr="001A6D66" w:rsidTr="007A073E">
        <w:trPr>
          <w:trHeight w:val="846"/>
        </w:trPr>
        <w:tc>
          <w:tcPr>
            <w:tcW w:w="3028" w:type="dxa"/>
            <w:tcBorders>
              <w:top w:val="nil"/>
              <w:bottom w:val="nil"/>
            </w:tcBorders>
            <w:shd w:val="clear" w:color="auto" w:fill="009ADB"/>
            <w:vAlign w:val="center"/>
            <w:hideMark/>
          </w:tcPr>
          <w:p w:rsidR="000A20A1" w:rsidRPr="000E455E" w:rsidRDefault="001A6D66" w:rsidP="007A073E">
            <w:pPr>
              <w:spacing w:after="0" w:line="240" w:lineRule="auto"/>
              <w:jc w:val="center"/>
              <w:rPr>
                <w:rFonts w:ascii="Arial" w:hAnsi="Arial" w:cs="Arial"/>
                <w:b/>
                <w:bCs/>
                <w:color w:val="FFFFFF" w:themeColor="background1"/>
                <w:sz w:val="20"/>
                <w:szCs w:val="18"/>
              </w:rPr>
            </w:pPr>
            <w:proofErr w:type="spellStart"/>
            <w:r>
              <w:rPr>
                <w:rFonts w:ascii="Arial" w:hAnsi="Arial" w:cs="Arial"/>
                <w:b/>
                <w:bCs/>
                <w:color w:val="FFFFFF" w:themeColor="background1"/>
                <w:sz w:val="20"/>
                <w:szCs w:val="18"/>
              </w:rPr>
              <w:lastRenderedPageBreak/>
              <w:t>District</w:t>
            </w:r>
            <w:proofErr w:type="spellEnd"/>
          </w:p>
        </w:tc>
        <w:tc>
          <w:tcPr>
            <w:tcW w:w="3010" w:type="dxa"/>
            <w:tcBorders>
              <w:top w:val="nil"/>
              <w:bottom w:val="nil"/>
            </w:tcBorders>
            <w:shd w:val="clear" w:color="auto" w:fill="009ADB"/>
            <w:vAlign w:val="center"/>
            <w:hideMark/>
          </w:tcPr>
          <w:p w:rsidR="000A20A1" w:rsidRPr="001A6D66" w:rsidRDefault="001A6D66" w:rsidP="001A6D66">
            <w:pPr>
              <w:spacing w:after="0" w:line="240" w:lineRule="auto"/>
              <w:jc w:val="center"/>
              <w:rPr>
                <w:rFonts w:ascii="Arial" w:hAnsi="Arial" w:cs="Arial"/>
                <w:b/>
                <w:bCs/>
                <w:color w:val="FFFFFF" w:themeColor="background1"/>
                <w:sz w:val="20"/>
                <w:szCs w:val="18"/>
                <w:lang w:val="en-GB"/>
              </w:rPr>
            </w:pPr>
            <w:r w:rsidRPr="001A6D66">
              <w:rPr>
                <w:rFonts w:ascii="Arial" w:hAnsi="Arial" w:cs="Arial"/>
                <w:b/>
                <w:bCs/>
                <w:color w:val="FFFFFF" w:themeColor="background1"/>
                <w:sz w:val="20"/>
                <w:szCs w:val="18"/>
                <w:lang w:val="en-GB"/>
              </w:rPr>
              <w:t>Average p</w:t>
            </w:r>
            <w:r w:rsidRPr="001A6D66">
              <w:rPr>
                <w:rFonts w:ascii="Arial" w:hAnsi="Arial" w:cs="Arial"/>
                <w:b/>
                <w:bCs/>
                <w:color w:val="FFFFFF" w:themeColor="background1"/>
                <w:sz w:val="20"/>
                <w:szCs w:val="18"/>
                <w:lang w:val="en-GB"/>
              </w:rPr>
              <w:t>urchasing power per capita per year in €</w:t>
            </w:r>
          </w:p>
        </w:tc>
      </w:tr>
      <w:tr w:rsidR="000A20A1" w:rsidRPr="001A6D66" w:rsidTr="007A073E">
        <w:trPr>
          <w:trHeight w:val="329"/>
        </w:trPr>
        <w:tc>
          <w:tcPr>
            <w:tcW w:w="6038" w:type="dxa"/>
            <w:gridSpan w:val="2"/>
            <w:tcBorders>
              <w:top w:val="nil"/>
              <w:bottom w:val="nil"/>
            </w:tcBorders>
            <w:shd w:val="clear" w:color="auto" w:fill="FFFFFF" w:themeFill="background1"/>
            <w:vAlign w:val="center"/>
          </w:tcPr>
          <w:p w:rsidR="001A6D66" w:rsidRPr="001A6D66" w:rsidRDefault="001A6D66" w:rsidP="007A073E">
            <w:pPr>
              <w:spacing w:line="240" w:lineRule="auto"/>
              <w:jc w:val="center"/>
              <w:rPr>
                <w:rFonts w:ascii="Arial" w:hAnsi="Arial" w:cs="Arial"/>
                <w:bCs/>
                <w:color w:val="009ADB"/>
                <w:sz w:val="2"/>
                <w:szCs w:val="2"/>
                <w:lang w:val="en-GB"/>
              </w:rPr>
            </w:pPr>
          </w:p>
          <w:p w:rsidR="000A20A1" w:rsidRPr="001A6D66" w:rsidRDefault="001A6D66" w:rsidP="007A073E">
            <w:pPr>
              <w:spacing w:line="240" w:lineRule="auto"/>
              <w:jc w:val="center"/>
              <w:rPr>
                <w:rFonts w:ascii="Arial" w:hAnsi="Arial" w:cs="Arial"/>
                <w:sz w:val="18"/>
                <w:szCs w:val="18"/>
                <w:lang w:val="en-GB"/>
              </w:rPr>
            </w:pPr>
            <w:r w:rsidRPr="001A6D66">
              <w:rPr>
                <w:rFonts w:ascii="Arial" w:hAnsi="Arial" w:cs="Arial"/>
                <w:bCs/>
                <w:color w:val="009ADB"/>
                <w:sz w:val="20"/>
                <w:szCs w:val="18"/>
                <w:lang w:val="en-GB"/>
              </w:rPr>
              <w:t>The 5 mos</w:t>
            </w:r>
            <w:r w:rsidR="007C7592">
              <w:rPr>
                <w:rFonts w:ascii="Arial" w:hAnsi="Arial" w:cs="Arial"/>
                <w:bCs/>
                <w:color w:val="009ADB"/>
                <w:sz w:val="20"/>
                <w:szCs w:val="18"/>
                <w:lang w:val="en-GB"/>
              </w:rPr>
              <w:t>t affluent districts in Austria</w:t>
            </w:r>
          </w:p>
        </w:tc>
      </w:tr>
      <w:tr w:rsidR="000A20A1" w:rsidRPr="00DE0A6C" w:rsidTr="007A073E">
        <w:trPr>
          <w:trHeight w:val="329"/>
        </w:trPr>
        <w:tc>
          <w:tcPr>
            <w:tcW w:w="3028" w:type="dxa"/>
            <w:tcBorders>
              <w:top w:val="nil"/>
            </w:tcBorders>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Wien 1., Innere Stadt</w:t>
            </w:r>
          </w:p>
        </w:tc>
        <w:tc>
          <w:tcPr>
            <w:tcW w:w="3010" w:type="dxa"/>
            <w:tcBorders>
              <w:top w:val="nil"/>
            </w:tcBorders>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40.407</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13., </w:t>
            </w:r>
            <w:proofErr w:type="spellStart"/>
            <w:r w:rsidRPr="00DE0A6C">
              <w:rPr>
                <w:rFonts w:ascii="Arial" w:hAnsi="Arial" w:cs="Arial"/>
                <w:sz w:val="18"/>
                <w:szCs w:val="18"/>
              </w:rPr>
              <w:t>Hietzing</w:t>
            </w:r>
            <w:proofErr w:type="spellEnd"/>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31.886</w:t>
            </w:r>
          </w:p>
        </w:tc>
      </w:tr>
      <w:tr w:rsidR="000A20A1" w:rsidRPr="00DE0A6C" w:rsidTr="007A073E">
        <w:trPr>
          <w:trHeight w:val="329"/>
        </w:trPr>
        <w:tc>
          <w:tcPr>
            <w:tcW w:w="3028" w:type="dxa"/>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Mödling</w:t>
            </w:r>
          </w:p>
        </w:tc>
        <w:tc>
          <w:tcPr>
            <w:tcW w:w="3010" w:type="dxa"/>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31</w:t>
            </w:r>
            <w:r>
              <w:rPr>
                <w:rFonts w:ascii="Arial" w:hAnsi="Arial" w:cs="Arial"/>
                <w:sz w:val="18"/>
                <w:szCs w:val="18"/>
              </w:rPr>
              <w:t>.</w:t>
            </w:r>
            <w:r w:rsidRPr="00DE0A6C">
              <w:rPr>
                <w:rFonts w:ascii="Arial" w:hAnsi="Arial" w:cs="Arial"/>
                <w:sz w:val="18"/>
                <w:szCs w:val="18"/>
              </w:rPr>
              <w:t>474</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19., </w:t>
            </w:r>
            <w:proofErr w:type="spellStart"/>
            <w:r w:rsidRPr="00DE0A6C">
              <w:rPr>
                <w:rFonts w:ascii="Arial" w:hAnsi="Arial" w:cs="Arial"/>
                <w:sz w:val="18"/>
                <w:szCs w:val="18"/>
              </w:rPr>
              <w:t>Döbling</w:t>
            </w:r>
            <w:proofErr w:type="spellEnd"/>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30.633</w:t>
            </w:r>
          </w:p>
        </w:tc>
      </w:tr>
      <w:tr w:rsidR="000A20A1" w:rsidRPr="00DE0A6C" w:rsidTr="007A073E">
        <w:trPr>
          <w:trHeight w:val="329"/>
        </w:trPr>
        <w:tc>
          <w:tcPr>
            <w:tcW w:w="3028" w:type="dxa"/>
            <w:tcBorders>
              <w:bottom w:val="nil"/>
            </w:tcBorders>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Eisenstadt (Stadt)</w:t>
            </w:r>
          </w:p>
        </w:tc>
        <w:tc>
          <w:tcPr>
            <w:tcW w:w="3010" w:type="dxa"/>
            <w:tcBorders>
              <w:bottom w:val="nil"/>
            </w:tcBorders>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29.279</w:t>
            </w:r>
          </w:p>
        </w:tc>
      </w:tr>
      <w:tr w:rsidR="00922AAA" w:rsidRPr="001A6D66" w:rsidTr="007A073E">
        <w:trPr>
          <w:trHeight w:val="329"/>
        </w:trPr>
        <w:tc>
          <w:tcPr>
            <w:tcW w:w="6038" w:type="dxa"/>
            <w:gridSpan w:val="2"/>
            <w:tcBorders>
              <w:top w:val="nil"/>
              <w:bottom w:val="nil"/>
            </w:tcBorders>
            <w:shd w:val="clear" w:color="auto" w:fill="FFFFFF" w:themeFill="background1"/>
            <w:vAlign w:val="center"/>
          </w:tcPr>
          <w:p w:rsidR="001A6D66" w:rsidRPr="001A6D66" w:rsidRDefault="001A6D66" w:rsidP="007A073E">
            <w:pPr>
              <w:spacing w:line="240" w:lineRule="auto"/>
              <w:jc w:val="center"/>
              <w:rPr>
                <w:rFonts w:ascii="Arial" w:hAnsi="Arial" w:cs="Arial"/>
                <w:bCs/>
                <w:color w:val="009ADB"/>
                <w:sz w:val="2"/>
                <w:szCs w:val="2"/>
                <w:lang w:val="en-GB"/>
              </w:rPr>
            </w:pPr>
            <w:r w:rsidRPr="001A6D66">
              <w:rPr>
                <w:rFonts w:ascii="Arial" w:hAnsi="Arial" w:cs="Arial"/>
                <w:bCs/>
                <w:color w:val="009ADB"/>
                <w:sz w:val="2"/>
                <w:szCs w:val="18"/>
                <w:lang w:val="en-GB"/>
              </w:rPr>
              <w:br/>
            </w:r>
          </w:p>
          <w:p w:rsidR="00922AAA" w:rsidRPr="001A6D66" w:rsidRDefault="001A6D66" w:rsidP="007A073E">
            <w:pPr>
              <w:spacing w:line="240" w:lineRule="auto"/>
              <w:jc w:val="center"/>
              <w:rPr>
                <w:rFonts w:ascii="Arial" w:hAnsi="Arial" w:cs="Arial"/>
                <w:bCs/>
                <w:color w:val="009ADB"/>
                <w:sz w:val="20"/>
                <w:szCs w:val="20"/>
                <w:lang w:val="en-GB"/>
              </w:rPr>
            </w:pPr>
            <w:r w:rsidRPr="001A6D66">
              <w:rPr>
                <w:rFonts w:ascii="Arial" w:hAnsi="Arial" w:cs="Arial"/>
                <w:bCs/>
                <w:color w:val="009ADB"/>
                <w:sz w:val="20"/>
                <w:szCs w:val="20"/>
                <w:lang w:val="en-GB"/>
              </w:rPr>
              <w:t>The 5 leas</w:t>
            </w:r>
            <w:r w:rsidR="007C7592">
              <w:rPr>
                <w:rFonts w:ascii="Arial" w:hAnsi="Arial" w:cs="Arial"/>
                <w:bCs/>
                <w:color w:val="009ADB"/>
                <w:sz w:val="20"/>
                <w:szCs w:val="20"/>
                <w:lang w:val="en-GB"/>
              </w:rPr>
              <w:t>t affluent districts in Austria</w:t>
            </w:r>
            <w:bookmarkStart w:id="0" w:name="_GoBack"/>
            <w:bookmarkEnd w:id="0"/>
          </w:p>
        </w:tc>
      </w:tr>
      <w:tr w:rsidR="000A20A1" w:rsidRPr="00DE0A6C" w:rsidTr="007A073E">
        <w:trPr>
          <w:trHeight w:val="329"/>
        </w:trPr>
        <w:tc>
          <w:tcPr>
            <w:tcW w:w="3028" w:type="dxa"/>
            <w:tcBorders>
              <w:top w:val="nil"/>
            </w:tcBorders>
            <w:shd w:val="clear" w:color="auto" w:fill="F2F2F2"/>
            <w:vAlign w:val="center"/>
            <w:hideMark/>
          </w:tcPr>
          <w:p w:rsidR="000A20A1" w:rsidRPr="00DE0A6C" w:rsidRDefault="000A20A1" w:rsidP="007A073E">
            <w:pPr>
              <w:spacing w:after="0" w:line="240" w:lineRule="auto"/>
              <w:rPr>
                <w:rFonts w:ascii="Arial" w:hAnsi="Arial" w:cs="Arial"/>
                <w:sz w:val="18"/>
                <w:szCs w:val="18"/>
              </w:rPr>
            </w:pPr>
            <w:proofErr w:type="spellStart"/>
            <w:r w:rsidRPr="00DE0A6C">
              <w:rPr>
                <w:rFonts w:ascii="Arial" w:hAnsi="Arial" w:cs="Arial"/>
                <w:sz w:val="18"/>
                <w:szCs w:val="18"/>
              </w:rPr>
              <w:t>Zwettl</w:t>
            </w:r>
            <w:proofErr w:type="spellEnd"/>
          </w:p>
        </w:tc>
        <w:tc>
          <w:tcPr>
            <w:tcW w:w="3010" w:type="dxa"/>
            <w:tcBorders>
              <w:top w:val="nil"/>
            </w:tcBorders>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21.967</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Wien 11., Simmering</w:t>
            </w:r>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21.765</w:t>
            </w:r>
          </w:p>
        </w:tc>
      </w:tr>
      <w:tr w:rsidR="000A20A1" w:rsidRPr="00DE0A6C" w:rsidTr="007A073E">
        <w:trPr>
          <w:trHeight w:val="329"/>
        </w:trPr>
        <w:tc>
          <w:tcPr>
            <w:tcW w:w="3028" w:type="dxa"/>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Wien 10., Favoriten</w:t>
            </w:r>
          </w:p>
        </w:tc>
        <w:tc>
          <w:tcPr>
            <w:tcW w:w="3010" w:type="dxa"/>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20.610</w:t>
            </w:r>
          </w:p>
        </w:tc>
      </w:tr>
      <w:tr w:rsidR="000A20A1" w:rsidRPr="00DE0A6C" w:rsidTr="007A073E">
        <w:trPr>
          <w:trHeight w:val="329"/>
        </w:trPr>
        <w:tc>
          <w:tcPr>
            <w:tcW w:w="3028" w:type="dxa"/>
            <w:shd w:val="clear" w:color="auto" w:fill="auto"/>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15., </w:t>
            </w:r>
            <w:proofErr w:type="spellStart"/>
            <w:r w:rsidRPr="00DE0A6C">
              <w:rPr>
                <w:rFonts w:ascii="Arial" w:hAnsi="Arial" w:cs="Arial"/>
                <w:sz w:val="18"/>
                <w:szCs w:val="18"/>
              </w:rPr>
              <w:t>Rudolfsheim-Fünfhaus</w:t>
            </w:r>
            <w:proofErr w:type="spellEnd"/>
          </w:p>
        </w:tc>
        <w:tc>
          <w:tcPr>
            <w:tcW w:w="3010" w:type="dxa"/>
            <w:shd w:val="clear" w:color="auto" w:fill="auto"/>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20.134</w:t>
            </w:r>
          </w:p>
        </w:tc>
      </w:tr>
      <w:tr w:rsidR="000A20A1" w:rsidRPr="00DE0A6C" w:rsidTr="007A073E">
        <w:trPr>
          <w:trHeight w:val="329"/>
        </w:trPr>
        <w:tc>
          <w:tcPr>
            <w:tcW w:w="3028" w:type="dxa"/>
            <w:shd w:val="clear" w:color="auto" w:fill="F2F2F2"/>
            <w:vAlign w:val="center"/>
            <w:hideMark/>
          </w:tcPr>
          <w:p w:rsidR="000A20A1" w:rsidRPr="00DE0A6C" w:rsidRDefault="000A20A1" w:rsidP="007A073E">
            <w:pPr>
              <w:spacing w:after="0" w:line="240" w:lineRule="auto"/>
              <w:rPr>
                <w:rFonts w:ascii="Arial" w:hAnsi="Arial" w:cs="Arial"/>
                <w:sz w:val="18"/>
                <w:szCs w:val="18"/>
              </w:rPr>
            </w:pPr>
            <w:r w:rsidRPr="00DE0A6C">
              <w:rPr>
                <w:rFonts w:ascii="Arial" w:hAnsi="Arial" w:cs="Arial"/>
                <w:sz w:val="18"/>
                <w:szCs w:val="18"/>
              </w:rPr>
              <w:t xml:space="preserve">Wien 20., </w:t>
            </w:r>
            <w:proofErr w:type="spellStart"/>
            <w:r w:rsidRPr="00DE0A6C">
              <w:rPr>
                <w:rFonts w:ascii="Arial" w:hAnsi="Arial" w:cs="Arial"/>
                <w:sz w:val="18"/>
                <w:szCs w:val="18"/>
              </w:rPr>
              <w:t>Brigittenau</w:t>
            </w:r>
            <w:proofErr w:type="spellEnd"/>
          </w:p>
        </w:tc>
        <w:tc>
          <w:tcPr>
            <w:tcW w:w="3010" w:type="dxa"/>
            <w:shd w:val="clear" w:color="auto" w:fill="F2F2F2"/>
            <w:vAlign w:val="center"/>
          </w:tcPr>
          <w:p w:rsidR="000A20A1" w:rsidRPr="00DE0A6C" w:rsidRDefault="000A20A1" w:rsidP="007A073E">
            <w:pPr>
              <w:spacing w:after="0" w:line="240" w:lineRule="auto"/>
              <w:jc w:val="center"/>
              <w:rPr>
                <w:rFonts w:ascii="Arial" w:hAnsi="Arial" w:cs="Arial"/>
                <w:sz w:val="18"/>
                <w:szCs w:val="18"/>
              </w:rPr>
            </w:pPr>
            <w:r w:rsidRPr="00DE0A6C">
              <w:rPr>
                <w:rFonts w:ascii="Arial" w:hAnsi="Arial" w:cs="Arial"/>
                <w:sz w:val="18"/>
                <w:szCs w:val="18"/>
              </w:rPr>
              <w:t>19.867</w:t>
            </w:r>
          </w:p>
        </w:tc>
      </w:tr>
    </w:tbl>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4D0F54" w:rsidRDefault="004D0F54"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7A073E" w:rsidRDefault="007A073E" w:rsidP="0003725A">
      <w:pPr>
        <w:spacing w:line="360" w:lineRule="auto"/>
        <w:jc w:val="both"/>
        <w:rPr>
          <w:rFonts w:ascii="Arial" w:hAnsi="Arial" w:cs="Arial"/>
          <w:sz w:val="20"/>
          <w:szCs w:val="24"/>
          <w:lang w:val="de-DE"/>
        </w:rPr>
      </w:pPr>
    </w:p>
    <w:p w:rsidR="00012EC2" w:rsidRDefault="00012EC2" w:rsidP="00241FB6">
      <w:pPr>
        <w:rPr>
          <w:rFonts w:ascii="Arial" w:hAnsi="Arial" w:cs="Arial"/>
          <w:i/>
          <w:sz w:val="20"/>
          <w:szCs w:val="20"/>
          <w:lang w:val="de-DE"/>
        </w:rPr>
      </w:pPr>
    </w:p>
    <w:p w:rsidR="00D9409D" w:rsidRPr="00A56A90" w:rsidRDefault="00D31CFC" w:rsidP="006A12E0">
      <w:pPr>
        <w:spacing w:line="360" w:lineRule="auto"/>
        <w:rPr>
          <w:rFonts w:ascii="Arial" w:hAnsi="Arial" w:cs="Arial"/>
          <w:bCs/>
          <w:spacing w:val="10"/>
          <w:sz w:val="24"/>
          <w:szCs w:val="20"/>
          <w:lang w:val="en-GB"/>
        </w:rPr>
      </w:pPr>
      <w:r w:rsidRPr="00A56A90">
        <w:rPr>
          <w:rFonts w:ascii="Arial" w:hAnsi="Arial" w:cs="Arial"/>
          <w:bCs/>
          <w:spacing w:val="10"/>
          <w:sz w:val="24"/>
          <w:szCs w:val="20"/>
          <w:lang w:val="en-GB"/>
        </w:rPr>
        <w:t>Outlook</w:t>
      </w:r>
    </w:p>
    <w:p w:rsidR="006A12E0" w:rsidRPr="00A56A90" w:rsidRDefault="00A56A90" w:rsidP="00A56A90">
      <w:pPr>
        <w:spacing w:line="360" w:lineRule="auto"/>
        <w:jc w:val="both"/>
        <w:rPr>
          <w:rFonts w:ascii="Arial" w:hAnsi="Arial" w:cs="Arial"/>
          <w:i/>
          <w:sz w:val="20"/>
          <w:szCs w:val="20"/>
          <w:lang w:val="en-GB"/>
        </w:rPr>
      </w:pPr>
      <w:r w:rsidRPr="00A56A90">
        <w:rPr>
          <w:rFonts w:ascii="Arial" w:eastAsia="Times New Roman" w:hAnsi="Arial" w:cs="Arial"/>
          <w:bCs/>
          <w:sz w:val="20"/>
          <w:szCs w:val="20"/>
          <w:lang w:val="en-GB" w:eastAsia="de-DE"/>
        </w:rPr>
        <w:t>Gradually decreasing inflation rates, along with higher wage settlements, which are typically based on the previous year's inflation rate, are expected to lead to slight</w:t>
      </w:r>
      <w:r>
        <w:rPr>
          <w:rFonts w:ascii="Arial" w:eastAsia="Times New Roman" w:hAnsi="Arial" w:cs="Arial"/>
          <w:bCs/>
          <w:sz w:val="20"/>
          <w:szCs w:val="20"/>
          <w:lang w:val="en-GB" w:eastAsia="de-DE"/>
        </w:rPr>
        <w:t xml:space="preserve"> increases in purchasing power, </w:t>
      </w:r>
      <w:r w:rsidRPr="00A56A90">
        <w:rPr>
          <w:rFonts w:ascii="Arial" w:eastAsia="Times New Roman" w:hAnsi="Arial" w:cs="Arial"/>
          <w:bCs/>
          <w:sz w:val="20"/>
          <w:szCs w:val="20"/>
          <w:lang w:val="en-GB" w:eastAsia="de-DE"/>
        </w:rPr>
        <w:t>al</w:t>
      </w:r>
      <w:r w:rsidRPr="00A56A90">
        <w:rPr>
          <w:rFonts w:ascii="Arial" w:eastAsia="Times New Roman" w:hAnsi="Arial" w:cs="Arial"/>
          <w:bCs/>
          <w:sz w:val="20"/>
          <w:szCs w:val="20"/>
          <w:lang w:val="en-GB" w:eastAsia="de-DE"/>
        </w:rPr>
        <w:t>t</w:t>
      </w:r>
      <w:r w:rsidRPr="00A56A90">
        <w:rPr>
          <w:rFonts w:ascii="Arial" w:eastAsia="Times New Roman" w:hAnsi="Arial" w:cs="Arial"/>
          <w:bCs/>
          <w:sz w:val="20"/>
          <w:szCs w:val="20"/>
          <w:lang w:val="en-GB" w:eastAsia="de-DE"/>
        </w:rPr>
        <w:t>hough in terms of the composition of overall purchasing power, there will be slight changes in income from capital assets (due to rising interest rates) and from agriculture (due to higher producer prices). Overall, for 2023 and 2024, both nominal and real increases in purchasing power are quite realistic.</w:t>
      </w:r>
    </w:p>
    <w:p w:rsidR="006A12E0" w:rsidRPr="00A56A90" w:rsidRDefault="006A12E0" w:rsidP="001F4744">
      <w:pPr>
        <w:jc w:val="center"/>
        <w:rPr>
          <w:rFonts w:ascii="Arial" w:hAnsi="Arial" w:cs="Arial"/>
          <w:i/>
          <w:sz w:val="20"/>
          <w:szCs w:val="20"/>
          <w:lang w:val="en-GB"/>
        </w:rPr>
      </w:pPr>
    </w:p>
    <w:p w:rsidR="006A12E0" w:rsidRDefault="006A12E0" w:rsidP="001F4744">
      <w:pPr>
        <w:jc w:val="center"/>
        <w:rPr>
          <w:rFonts w:ascii="Arial" w:hAnsi="Arial" w:cs="Arial"/>
          <w:i/>
          <w:sz w:val="20"/>
          <w:szCs w:val="20"/>
          <w:lang w:val="en-GB"/>
        </w:rPr>
      </w:pPr>
    </w:p>
    <w:p w:rsidR="003138D2" w:rsidRDefault="003138D2" w:rsidP="001F4744">
      <w:pPr>
        <w:jc w:val="center"/>
        <w:rPr>
          <w:rFonts w:ascii="Arial" w:hAnsi="Arial" w:cs="Arial"/>
          <w:i/>
          <w:sz w:val="20"/>
          <w:szCs w:val="20"/>
          <w:lang w:val="en-GB"/>
        </w:rPr>
      </w:pPr>
    </w:p>
    <w:p w:rsidR="003138D2" w:rsidRDefault="003138D2" w:rsidP="001F4744">
      <w:pPr>
        <w:jc w:val="center"/>
        <w:rPr>
          <w:rFonts w:ascii="Arial" w:hAnsi="Arial" w:cs="Arial"/>
          <w:i/>
          <w:sz w:val="20"/>
          <w:szCs w:val="20"/>
          <w:lang w:val="en-GB"/>
        </w:rPr>
      </w:pPr>
    </w:p>
    <w:p w:rsidR="003138D2" w:rsidRDefault="003138D2" w:rsidP="001F4744">
      <w:pPr>
        <w:jc w:val="center"/>
        <w:rPr>
          <w:rFonts w:ascii="Arial" w:hAnsi="Arial" w:cs="Arial"/>
          <w:i/>
          <w:sz w:val="20"/>
          <w:szCs w:val="20"/>
          <w:lang w:val="en-GB"/>
        </w:rPr>
      </w:pPr>
    </w:p>
    <w:p w:rsidR="003138D2" w:rsidRDefault="003138D2" w:rsidP="001F4744">
      <w:pPr>
        <w:jc w:val="center"/>
        <w:rPr>
          <w:rFonts w:ascii="Arial" w:hAnsi="Arial" w:cs="Arial"/>
          <w:i/>
          <w:sz w:val="20"/>
          <w:szCs w:val="20"/>
          <w:lang w:val="en-GB"/>
        </w:rPr>
      </w:pPr>
    </w:p>
    <w:p w:rsidR="003138D2" w:rsidRPr="00A56A90" w:rsidRDefault="003138D2" w:rsidP="001F4744">
      <w:pPr>
        <w:jc w:val="center"/>
        <w:rPr>
          <w:rFonts w:ascii="Arial" w:hAnsi="Arial" w:cs="Arial"/>
          <w:i/>
          <w:sz w:val="20"/>
          <w:szCs w:val="20"/>
          <w:lang w:val="en-GB"/>
        </w:rPr>
      </w:pPr>
    </w:p>
    <w:p w:rsidR="003138D2" w:rsidRPr="00A0162D" w:rsidRDefault="003138D2" w:rsidP="003138D2">
      <w:pPr>
        <w:spacing w:line="360" w:lineRule="auto"/>
        <w:jc w:val="both"/>
        <w:rPr>
          <w:rFonts w:ascii="Arial" w:hAnsi="Arial" w:cs="Arial"/>
          <w:sz w:val="20"/>
          <w:szCs w:val="24"/>
          <w:lang w:val="en-GB"/>
        </w:rPr>
      </w:pPr>
    </w:p>
    <w:p w:rsidR="003138D2" w:rsidRPr="0091677B" w:rsidRDefault="003138D2" w:rsidP="003138D2">
      <w:pPr>
        <w:spacing w:line="240" w:lineRule="auto"/>
        <w:jc w:val="center"/>
        <w:rPr>
          <w:rFonts w:ascii="Arial" w:hAnsi="Arial" w:cs="Arial"/>
          <w:i/>
          <w:sz w:val="20"/>
          <w:szCs w:val="20"/>
          <w:lang w:val="en-GB"/>
        </w:rPr>
      </w:pPr>
      <w:r w:rsidRPr="00FA01AB">
        <w:rPr>
          <w:rFonts w:ascii="Arial" w:hAnsi="Arial" w:cs="Arial"/>
          <w:i/>
          <w:sz w:val="20"/>
          <w:szCs w:val="20"/>
          <w:lang w:val="en-GB"/>
        </w:rPr>
        <w:t>The study "</w:t>
      </w:r>
      <w:r>
        <w:rPr>
          <w:rFonts w:ascii="Arial" w:hAnsi="Arial" w:cs="Arial"/>
          <w:b/>
          <w:i/>
          <w:sz w:val="20"/>
          <w:szCs w:val="20"/>
          <w:lang w:val="en-GB"/>
        </w:rPr>
        <w:t>Purchasing Power Austria</w:t>
      </w:r>
      <w:r>
        <w:rPr>
          <w:rFonts w:ascii="Arial" w:hAnsi="Arial" w:cs="Arial"/>
          <w:b/>
          <w:i/>
          <w:sz w:val="20"/>
          <w:szCs w:val="20"/>
          <w:lang w:val="en-GB"/>
        </w:rPr>
        <w:t xml:space="preserve"> – Edition 2023”</w:t>
      </w:r>
      <w:r w:rsidRPr="00FA01AB">
        <w:rPr>
          <w:rFonts w:ascii="Arial" w:hAnsi="Arial" w:cs="Arial"/>
          <w:i/>
          <w:sz w:val="20"/>
          <w:szCs w:val="20"/>
          <w:lang w:val="en-GB"/>
        </w:rPr>
        <w:t xml:space="preserve"> is currently available at RegioData </w:t>
      </w:r>
      <w:r>
        <w:rPr>
          <w:rFonts w:ascii="Arial" w:hAnsi="Arial" w:cs="Arial"/>
          <w:i/>
          <w:sz w:val="20"/>
          <w:szCs w:val="20"/>
          <w:lang w:val="en-GB"/>
        </w:rPr>
        <w:t>starting at</w:t>
      </w:r>
      <w:r w:rsidRPr="00FA01AB">
        <w:rPr>
          <w:rFonts w:ascii="Arial" w:hAnsi="Arial" w:cs="Arial"/>
          <w:i/>
          <w:sz w:val="20"/>
          <w:szCs w:val="20"/>
          <w:lang w:val="en-GB"/>
        </w:rPr>
        <w:t xml:space="preserve"> € </w:t>
      </w:r>
      <w:r>
        <w:rPr>
          <w:rFonts w:ascii="Arial" w:hAnsi="Arial" w:cs="Arial"/>
          <w:i/>
          <w:sz w:val="20"/>
          <w:szCs w:val="20"/>
          <w:lang w:val="en-GB"/>
        </w:rPr>
        <w:t>800</w:t>
      </w:r>
      <w:r>
        <w:rPr>
          <w:rFonts w:ascii="Arial" w:hAnsi="Arial" w:cs="Arial"/>
          <w:i/>
          <w:sz w:val="20"/>
          <w:szCs w:val="20"/>
          <w:lang w:val="en-GB"/>
        </w:rPr>
        <w:t xml:space="preserve"> </w:t>
      </w:r>
      <w:r w:rsidRPr="00FA01AB">
        <w:rPr>
          <w:rFonts w:ascii="Arial" w:hAnsi="Arial" w:cs="Arial"/>
          <w:i/>
          <w:sz w:val="20"/>
          <w:szCs w:val="20"/>
          <w:lang w:val="en-GB"/>
        </w:rPr>
        <w:t xml:space="preserve">(plus 20% VAT). </w:t>
      </w:r>
      <w:r w:rsidRPr="00AB6371">
        <w:rPr>
          <w:rFonts w:ascii="Arial" w:hAnsi="Arial" w:cs="Arial"/>
          <w:i/>
          <w:sz w:val="20"/>
          <w:szCs w:val="20"/>
          <w:lang w:val="en-GB"/>
        </w:rPr>
        <w:t xml:space="preserve">For more information, visit </w:t>
      </w:r>
      <w:hyperlink r:id="rId12" w:history="1">
        <w:r w:rsidRPr="00AB6371">
          <w:rPr>
            <w:rStyle w:val="Hyperlink"/>
            <w:rFonts w:ascii="Arial" w:hAnsi="Arial" w:cs="Arial"/>
            <w:i/>
            <w:sz w:val="20"/>
            <w:szCs w:val="20"/>
            <w:lang w:val="en-GB"/>
          </w:rPr>
          <w:t>www.regiodata.eu</w:t>
        </w:r>
      </w:hyperlink>
    </w:p>
    <w:p w:rsidR="003138D2" w:rsidRPr="00F16748" w:rsidRDefault="003138D2" w:rsidP="003138D2">
      <w:pPr>
        <w:jc w:val="center"/>
        <w:rPr>
          <w:rFonts w:ascii="Arial" w:hAnsi="Arial" w:cs="Arial"/>
          <w:sz w:val="20"/>
          <w:szCs w:val="20"/>
        </w:rPr>
      </w:pPr>
      <w:r w:rsidRPr="00AB6371">
        <w:rPr>
          <w:rFonts w:ascii="Arial" w:hAnsi="Arial" w:cs="Arial"/>
          <w:b/>
          <w:i/>
          <w:sz w:val="20"/>
          <w:szCs w:val="20"/>
          <w:lang w:val="en-GB"/>
        </w:rPr>
        <w:t>RegioData Research GmbH</w:t>
      </w:r>
      <w:r w:rsidRPr="00072F59">
        <w:rPr>
          <w:rFonts w:ascii="Arial" w:hAnsi="Arial" w:cs="Arial"/>
          <w:i/>
          <w:sz w:val="20"/>
          <w:szCs w:val="20"/>
          <w:lang w:val="en-GB"/>
        </w:rPr>
        <w:t xml:space="preserve">, based in Vienna and Munich, is a specialist in regional economic data for Europe. We provide decision-relevant information for the retail, real estate, and finance sectors. </w:t>
      </w:r>
      <w:proofErr w:type="spellStart"/>
      <w:r w:rsidRPr="002C544E">
        <w:rPr>
          <w:rFonts w:ascii="Arial" w:hAnsi="Arial" w:cs="Arial"/>
          <w:i/>
          <w:sz w:val="20"/>
          <w:szCs w:val="20"/>
          <w:lang w:val="de-DE"/>
        </w:rPr>
        <w:t>Up</w:t>
      </w:r>
      <w:proofErr w:type="spellEnd"/>
      <w:r w:rsidRPr="002C544E">
        <w:rPr>
          <w:rFonts w:ascii="Arial" w:hAnsi="Arial" w:cs="Arial"/>
          <w:i/>
          <w:sz w:val="20"/>
          <w:szCs w:val="20"/>
          <w:lang w:val="de-DE"/>
        </w:rPr>
        <w:t>-</w:t>
      </w:r>
      <w:proofErr w:type="spellStart"/>
      <w:r w:rsidRPr="002C544E">
        <w:rPr>
          <w:rFonts w:ascii="Arial" w:hAnsi="Arial" w:cs="Arial"/>
          <w:i/>
          <w:sz w:val="20"/>
          <w:szCs w:val="20"/>
          <w:lang w:val="de-DE"/>
        </w:rPr>
        <w:t>to</w:t>
      </w:r>
      <w:proofErr w:type="spellEnd"/>
      <w:r w:rsidRPr="002C544E">
        <w:rPr>
          <w:rFonts w:ascii="Arial" w:hAnsi="Arial" w:cs="Arial"/>
          <w:i/>
          <w:sz w:val="20"/>
          <w:szCs w:val="20"/>
          <w:lang w:val="de-DE"/>
        </w:rPr>
        <w:t xml:space="preserve">-date, </w:t>
      </w:r>
      <w:proofErr w:type="spellStart"/>
      <w:r w:rsidRPr="002C544E">
        <w:rPr>
          <w:rFonts w:ascii="Arial" w:hAnsi="Arial" w:cs="Arial"/>
          <w:i/>
          <w:sz w:val="20"/>
          <w:szCs w:val="20"/>
          <w:lang w:val="de-DE"/>
        </w:rPr>
        <w:t>precise</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and</w:t>
      </w:r>
      <w:proofErr w:type="spellEnd"/>
      <w:r w:rsidRPr="002C544E">
        <w:rPr>
          <w:rFonts w:ascii="Arial" w:hAnsi="Arial" w:cs="Arial"/>
          <w:i/>
          <w:sz w:val="20"/>
          <w:szCs w:val="20"/>
          <w:lang w:val="de-DE"/>
        </w:rPr>
        <w:t xml:space="preserve"> </w:t>
      </w:r>
      <w:proofErr w:type="spellStart"/>
      <w:r w:rsidRPr="002C544E">
        <w:rPr>
          <w:rFonts w:ascii="Arial" w:hAnsi="Arial" w:cs="Arial"/>
          <w:i/>
          <w:sz w:val="20"/>
          <w:szCs w:val="20"/>
          <w:lang w:val="de-DE"/>
        </w:rPr>
        <w:t>reliable</w:t>
      </w:r>
      <w:proofErr w:type="spellEnd"/>
      <w:r w:rsidRPr="002C544E">
        <w:rPr>
          <w:rFonts w:ascii="Arial" w:hAnsi="Arial" w:cs="Arial"/>
          <w:i/>
          <w:sz w:val="20"/>
          <w:szCs w:val="20"/>
          <w:lang w:val="de-DE"/>
        </w:rPr>
        <w:t>.</w:t>
      </w:r>
    </w:p>
    <w:sectPr w:rsidR="003138D2" w:rsidRPr="00F16748">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D9" w:rsidRDefault="002775D9" w:rsidP="0003725A">
      <w:pPr>
        <w:spacing w:after="0" w:line="240" w:lineRule="auto"/>
      </w:pPr>
      <w:r>
        <w:separator/>
      </w:r>
    </w:p>
  </w:endnote>
  <w:endnote w:type="continuationSeparator" w:id="0">
    <w:p w:rsidR="002775D9" w:rsidRDefault="002775D9" w:rsidP="00037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D9" w:rsidRDefault="002775D9" w:rsidP="0003725A">
      <w:pPr>
        <w:spacing w:after="0" w:line="240" w:lineRule="auto"/>
      </w:pPr>
      <w:r>
        <w:separator/>
      </w:r>
    </w:p>
  </w:footnote>
  <w:footnote w:type="continuationSeparator" w:id="0">
    <w:p w:rsidR="002775D9" w:rsidRDefault="002775D9" w:rsidP="000372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9F0" w:rsidRDefault="00CA29F0" w:rsidP="0003725A">
    <w:pPr>
      <w:pStyle w:val="Kopfzeile"/>
      <w:tabs>
        <w:tab w:val="left" w:pos="6960"/>
      </w:tabs>
    </w:pPr>
    <w:r w:rsidRPr="00492D78">
      <w:rPr>
        <w:noProof/>
        <w:color w:val="525556"/>
        <w:lang w:eastAsia="de-AT"/>
      </w:rPr>
      <mc:AlternateContent>
        <mc:Choice Requires="wps">
          <w:drawing>
            <wp:anchor distT="0" distB="0" distL="114300" distR="114300" simplePos="0" relativeHeight="251661312" behindDoc="0" locked="0" layoutInCell="1" allowOverlap="1" wp14:anchorId="6A4753DE" wp14:editId="4D696734">
              <wp:simplePos x="0" y="0"/>
              <wp:positionH relativeFrom="column">
                <wp:posOffset>-945886</wp:posOffset>
              </wp:positionH>
              <wp:positionV relativeFrom="paragraph">
                <wp:posOffset>397510</wp:posOffset>
              </wp:positionV>
              <wp:extent cx="7646035" cy="0"/>
              <wp:effectExtent l="0" t="0" r="12065" b="19050"/>
              <wp:wrapNone/>
              <wp:docPr id="6" name="Gerade Verbindung 6"/>
              <wp:cNvGraphicFramePr/>
              <a:graphic xmlns:a="http://schemas.openxmlformats.org/drawingml/2006/main">
                <a:graphicData uri="http://schemas.microsoft.com/office/word/2010/wordprocessingShape">
                  <wps:wsp>
                    <wps:cNvCnPr/>
                    <wps:spPr>
                      <a:xfrm>
                        <a:off x="0" y="0"/>
                        <a:ext cx="7646035" cy="0"/>
                      </a:xfrm>
                      <a:prstGeom prst="line">
                        <a:avLst/>
                      </a:prstGeom>
                      <a:ln>
                        <a:solidFill>
                          <a:srgbClr val="52555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4.5pt,31.3pt" to="527.55pt,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K80wEAAAMEAAAOAAAAZHJzL2Uyb0RvYy54bWysU02P0zAQvSPxHyzfadJCAoqa7mFXuxcE&#10;FSzcXXvcWvKXxt5+/HvGbptdARICcZlk7Hlv5j3by5ujs2wPmEzwI5/PWs7Ay6CM34782+P9mw+c&#10;pSy8EjZ4GPkJEr9ZvX61PMQBFmEXrAJkROLTcIgj3+Uch6ZJcgdOpFmI4GlTB3QiU4rbRqE4ELuz&#10;zaJt++YQUEUMElKi1bvzJl9Vfq1B5s9aJ8jMjpxmyzVijZsSm9VSDFsUcWfkZQzxD1M4YTw1naju&#10;RBbsCc0vVM5IDCnoPJPBNUFrI6FqIDXz9ic1X3ciQtVC5qQ42ZT+H638tF8jM2rkPWdeODqiB0Ch&#10;gH0H3BivnvyW9cWmQ0wDVd/6NV6yFNdYNB81uvIlNexYrT1N1sIxM0mL7/t3ffu240xe95pnYMSU&#10;HyA4Vn5Gbo0vqsUg9h9TpmZUei0py9aXmII16t5YWxPcbm4tsr2gc+4WXdfVmQn4ooyyAm2KkvPs&#10;9S+fLJxpv4AmK2jaeW1fLyFMtEJK8HlevKhMVF1gmkaYgO2fgZf6AoV6Qf8GPCFq5+DzBHbGB/xd&#10;93y8jqzP9VcHzrqLBZugTvVUqzV006rCy6soV/llXuHPb3f1AwAA//8DAFBLAwQUAAYACAAAACEA&#10;GriL294AAAALAQAADwAAAGRycy9kb3ducmV2LnhtbEyPwU7DMAyG70i8Q2QkLmhLO9EKStMJIXHg&#10;xgbSrm5j2rLGqZK0696eTBzgaPvX5+8vt4sZxEzO95YVpOsEBHFjdc+tgs+P19UDCB+QNQ6WScGZ&#10;PGyr66sSC21PvKN5H1oRIewLVNCFMBZS+qYjg35tR+J4+7LOYIija6V2eIpwM8hNkuTSYM/xQ4cj&#10;vXTUHPeTiZRjfXAznXE57Go/Zt93/dv7pNTtzfL8BCLQEv7CcNGP6lBFp9pOrL0YFKzS+8dYJijI&#10;NzmISyLJshRE/buRVSn/d6h+AAAA//8DAFBLAQItABQABgAIAAAAIQC2gziS/gAAAOEBAAATAAAA&#10;AAAAAAAAAAAAAAAAAABbQ29udGVudF9UeXBlc10ueG1sUEsBAi0AFAAGAAgAAAAhADj9If/WAAAA&#10;lAEAAAsAAAAAAAAAAAAAAAAALwEAAF9yZWxzLy5yZWxzUEsBAi0AFAAGAAgAAAAhAIaicrzTAQAA&#10;AwQAAA4AAAAAAAAAAAAAAAAALgIAAGRycy9lMm9Eb2MueG1sUEsBAi0AFAAGAAgAAAAhABq4i9ve&#10;AAAACwEAAA8AAAAAAAAAAAAAAAAALQQAAGRycy9kb3ducmV2LnhtbFBLBQYAAAAABAAEAPMAAAA4&#10;BQAAAAA=&#10;" strokecolor="#525556"/>
          </w:pict>
        </mc:Fallback>
      </mc:AlternateContent>
    </w:r>
    <w:r>
      <w:rPr>
        <w:noProof/>
        <w:lang w:eastAsia="de-AT"/>
      </w:rPr>
      <mc:AlternateContent>
        <mc:Choice Requires="wps">
          <w:drawing>
            <wp:anchor distT="0" distB="0" distL="114300" distR="114300" simplePos="0" relativeHeight="251660288" behindDoc="0" locked="0" layoutInCell="1" allowOverlap="1" wp14:anchorId="5FA923E2" wp14:editId="76D287D0">
              <wp:simplePos x="0" y="0"/>
              <wp:positionH relativeFrom="column">
                <wp:posOffset>-527050</wp:posOffset>
              </wp:positionH>
              <wp:positionV relativeFrom="paragraph">
                <wp:posOffset>-111760</wp:posOffset>
              </wp:positionV>
              <wp:extent cx="914400" cy="914400"/>
              <wp:effectExtent l="0" t="0" r="0" b="0"/>
              <wp:wrapNone/>
              <wp:docPr id="5" name="Textfeld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A29F0" w:rsidRPr="00615179" w:rsidRDefault="00615179" w:rsidP="0003725A">
                          <w:pPr>
                            <w:rPr>
                              <w:rFonts w:ascii="Arial" w:hAnsi="Arial" w:cs="Arial"/>
                              <w:color w:val="525556"/>
                              <w:spacing w:val="60"/>
                              <w:sz w:val="24"/>
                              <w:lang w:val="de-DE"/>
                            </w:rPr>
                          </w:pPr>
                          <w:r>
                            <w:rPr>
                              <w:rFonts w:ascii="Arial" w:hAnsi="Arial" w:cs="Arial"/>
                              <w:color w:val="525556"/>
                              <w:spacing w:val="60"/>
                              <w:sz w:val="24"/>
                              <w:lang w:val="de-DE"/>
                            </w:rPr>
                            <w:t>PRESS RELEASE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41.5pt;margin-top:-8.8pt;width:1in;height:1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wEJdAIAAF8FAAAOAAAAZHJzL2Uyb0RvYy54bWysVFtP2zAUfp+0/2D5faRllLGKFHUgpkkI&#10;0GDi2XVsGs3xsWzTpPv1++wkbcX2wrQX5+Sc79wv5xddY9hG+VCTLfn0aMKZspKq2j6X/Mfj9Ycz&#10;zkIUthKGrCr5VgV+sXj/7rx1c3VMazKV8gxGbJi3ruTrGN28KIJcq0aEI3LKQqjJNyLi1z8XlRct&#10;rDemOJ5MTouWfOU8SRUCuFe9kC+yfa2VjHdaBxWZKTlii/n1+V2lt1ici/mzF25dyyEM8Q9RNKK2&#10;cLozdSWiYC++/sNUU0tPgXQ8ktQUpHUtVc4B2Uwnr7J5WAunci4oTnC7MoX/Z1bebu49q6uSzziz&#10;okGLHlUXtTIVm6XqtC7MAXpwgMXuC3Xo8sgPYKakO+2b9EU6DHLUeburLYwxCebn6cnJBBIJ0UDD&#10;erFXdj7Er4oaloiSe7QuV1RsbkLsoSMk+bJ0XRuT22csa0t++nE2yQo7CYwbm7AqD8JgJiXUB56p&#10;uDUqYYz9rjQKkeNPjDyC6tJ4thEYHiGlsjGnnu0CnVAaQbxFccDvo3qLcp/H6Jls3Ck3tSWfs38V&#10;dvVzDFn3eNT8IO9Exm7VDY1eUbVFnz31exKcvK7RjRsR4r3wWAw0EMse7/BoQ6g6DRRna/K//sZP&#10;eMwrpJy1WLSSW1wCzsw3iznOo4C9zD8ns0/H8OAPJatDiX1pLgnNmOKoOJnJhI9mJLWn5gkXYZl8&#10;QiSshOeSx5G8jP3y46JItVxmEDbRiXhjH5xMplNv0qQ9dk/Cu2EcI+b4lsaFFPNXU9ljk6al5Usk&#10;XeeRTeXtazqUHVuch364OOlMHP5n1P4uLn4DAAD//wMAUEsDBBQABgAIAAAAIQCu7SBi4wAAAAoB&#10;AAAPAAAAZHJzL2Rvd25yZXYueG1sTI9LT8MwEITvSPwHa5G4oNZJQaYKcSpAAiHEQ30I9ejGSxw1&#10;tiPbadN/z3KC2+7OaPabcjHajh0wxNY7Cfk0A4au9rp1jYTN+mkyBxaTclp13qGEE0ZYVOdnpSq0&#10;P7olHlapYRTiYqEkmJT6gvNYG7QqTn2PjrRvH6xKtIaG66COFG47Pssywa1qHX0wqsdHg/V+NVgJ&#10;e/N69Zk9vz98iZdT+FgPfhvetlJeXoz3d8ASjunPDL/4hA4VMe384HRknYTJ/Jq6JBryWwGMHCKn&#10;w46cM3EDvCr5/wrVDwAAAP//AwBQSwECLQAUAAYACAAAACEAtoM4kv4AAADhAQAAEwAAAAAAAAAA&#10;AAAAAAAAAAAAW0NvbnRlbnRfVHlwZXNdLnhtbFBLAQItABQABgAIAAAAIQA4/SH/1gAAAJQBAAAL&#10;AAAAAAAAAAAAAAAAAC8BAABfcmVscy8ucmVsc1BLAQItABQABgAIAAAAIQD2PwEJdAIAAF8FAAAO&#10;AAAAAAAAAAAAAAAAAC4CAABkcnMvZTJvRG9jLnhtbFBLAQItABQABgAIAAAAIQCu7SBi4wAAAAoB&#10;AAAPAAAAAAAAAAAAAAAAAM4EAABkcnMvZG93bnJldi54bWxQSwUGAAAAAAQABADzAAAA3gUAAAAA&#10;" filled="f" stroked="f" strokeweight=".5pt">
              <v:textbox>
                <w:txbxContent>
                  <w:p w:rsidR="00CA29F0" w:rsidRPr="00615179" w:rsidRDefault="00615179" w:rsidP="0003725A">
                    <w:pPr>
                      <w:rPr>
                        <w:rFonts w:ascii="Arial" w:hAnsi="Arial" w:cs="Arial"/>
                        <w:color w:val="525556"/>
                        <w:spacing w:val="60"/>
                        <w:sz w:val="24"/>
                        <w:lang w:val="de-DE"/>
                      </w:rPr>
                    </w:pPr>
                    <w:r>
                      <w:rPr>
                        <w:rFonts w:ascii="Arial" w:hAnsi="Arial" w:cs="Arial"/>
                        <w:color w:val="525556"/>
                        <w:spacing w:val="60"/>
                        <w:sz w:val="24"/>
                        <w:lang w:val="de-DE"/>
                      </w:rPr>
                      <w:t>PRESS RELEASE</w:t>
                    </w:r>
                  </w:p>
                </w:txbxContent>
              </v:textbox>
            </v:shape>
          </w:pict>
        </mc:Fallback>
      </mc:AlternateContent>
    </w:r>
    <w:r>
      <w:rPr>
        <w:noProof/>
        <w:lang w:eastAsia="de-AT"/>
      </w:rPr>
      <w:drawing>
        <wp:anchor distT="0" distB="0" distL="114300" distR="114300" simplePos="0" relativeHeight="251659264" behindDoc="1" locked="0" layoutInCell="1" allowOverlap="1" wp14:anchorId="05B13A4A" wp14:editId="7B15E8F1">
          <wp:simplePos x="0" y="0"/>
          <wp:positionH relativeFrom="column">
            <wp:posOffset>3840480</wp:posOffset>
          </wp:positionH>
          <wp:positionV relativeFrom="paragraph">
            <wp:posOffset>-284480</wp:posOffset>
          </wp:positionV>
          <wp:extent cx="2553335" cy="580390"/>
          <wp:effectExtent l="0" t="0" r="0" b="0"/>
          <wp:wrapTight wrapText="bothSides">
            <wp:wrapPolygon edited="0">
              <wp:start x="806" y="0"/>
              <wp:lineTo x="161" y="4254"/>
              <wp:lineTo x="161" y="7090"/>
              <wp:lineTo x="483" y="17015"/>
              <wp:lineTo x="5640" y="19142"/>
              <wp:lineTo x="13859" y="20560"/>
              <wp:lineTo x="19822" y="20560"/>
              <wp:lineTo x="20789" y="19142"/>
              <wp:lineTo x="21272" y="16306"/>
              <wp:lineTo x="21433" y="4963"/>
              <wp:lineTo x="18049" y="2836"/>
              <wp:lineTo x="2578" y="0"/>
              <wp:lineTo x="806" y="0"/>
            </wp:wrapPolygon>
          </wp:wrapTight>
          <wp:docPr id="3" name="Grafik 3" descr="D:\RegioData\Marketing\Corporate Design und Fotos\Corporate Design, Logo\2022\RegioDat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gioData\Marketing\Corporate Design und Fotos\Corporate Design, Logo\2022\RegioData_Logo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33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p>
  <w:p w:rsidR="00CA29F0" w:rsidRDefault="00CA29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3759E"/>
    <w:multiLevelType w:val="hybridMultilevel"/>
    <w:tmpl w:val="74E61928"/>
    <w:lvl w:ilvl="0" w:tplc="B128CD12">
      <w:start w:val="1"/>
      <w:numFmt w:val="bullet"/>
      <w:lvlText w:val=""/>
      <w:lvlJc w:val="left"/>
      <w:pPr>
        <w:tabs>
          <w:tab w:val="num" w:pos="360"/>
        </w:tabs>
        <w:ind w:left="0" w:firstLine="0"/>
      </w:pPr>
      <w:rPr>
        <w:rFonts w:ascii="Wingdings" w:hAnsi="Wingdings" w:hint="default"/>
        <w:b/>
        <w:i w:val="0"/>
        <w:color w:val="3366FF"/>
        <w:sz w:val="24"/>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F7"/>
    <w:rsid w:val="00004A31"/>
    <w:rsid w:val="00012EC2"/>
    <w:rsid w:val="00033A31"/>
    <w:rsid w:val="0003725A"/>
    <w:rsid w:val="00041588"/>
    <w:rsid w:val="00047098"/>
    <w:rsid w:val="000557A3"/>
    <w:rsid w:val="00063E2F"/>
    <w:rsid w:val="00070AC2"/>
    <w:rsid w:val="00092E73"/>
    <w:rsid w:val="000A1B7C"/>
    <w:rsid w:val="000A20A1"/>
    <w:rsid w:val="000B68B2"/>
    <w:rsid w:val="000C7AA7"/>
    <w:rsid w:val="000D3ECA"/>
    <w:rsid w:val="000D4F83"/>
    <w:rsid w:val="000E0218"/>
    <w:rsid w:val="000E455E"/>
    <w:rsid w:val="000F1879"/>
    <w:rsid w:val="000F3610"/>
    <w:rsid w:val="00101F01"/>
    <w:rsid w:val="00107318"/>
    <w:rsid w:val="00126A76"/>
    <w:rsid w:val="00127DA7"/>
    <w:rsid w:val="001448EC"/>
    <w:rsid w:val="001472C6"/>
    <w:rsid w:val="001707A8"/>
    <w:rsid w:val="001714E2"/>
    <w:rsid w:val="001748E6"/>
    <w:rsid w:val="001826F7"/>
    <w:rsid w:val="00185C09"/>
    <w:rsid w:val="001871B1"/>
    <w:rsid w:val="001A56AC"/>
    <w:rsid w:val="001A6D66"/>
    <w:rsid w:val="001B4CC3"/>
    <w:rsid w:val="001C5EDC"/>
    <w:rsid w:val="001C6ED8"/>
    <w:rsid w:val="001E5906"/>
    <w:rsid w:val="001F4744"/>
    <w:rsid w:val="001F4EAF"/>
    <w:rsid w:val="00221FAF"/>
    <w:rsid w:val="00231856"/>
    <w:rsid w:val="002348AB"/>
    <w:rsid w:val="002350BE"/>
    <w:rsid w:val="00241FB6"/>
    <w:rsid w:val="0024313E"/>
    <w:rsid w:val="002447AA"/>
    <w:rsid w:val="00244E0A"/>
    <w:rsid w:val="002470E0"/>
    <w:rsid w:val="002658DD"/>
    <w:rsid w:val="00271921"/>
    <w:rsid w:val="00276AA8"/>
    <w:rsid w:val="00276D3B"/>
    <w:rsid w:val="002775D9"/>
    <w:rsid w:val="002814B1"/>
    <w:rsid w:val="00285686"/>
    <w:rsid w:val="00287054"/>
    <w:rsid w:val="0029061D"/>
    <w:rsid w:val="0029643D"/>
    <w:rsid w:val="002A7F6C"/>
    <w:rsid w:val="002C1B70"/>
    <w:rsid w:val="002C3FAB"/>
    <w:rsid w:val="002C657A"/>
    <w:rsid w:val="00306428"/>
    <w:rsid w:val="003138D2"/>
    <w:rsid w:val="003178C0"/>
    <w:rsid w:val="003218D1"/>
    <w:rsid w:val="00347156"/>
    <w:rsid w:val="003620B6"/>
    <w:rsid w:val="0038260A"/>
    <w:rsid w:val="003849B2"/>
    <w:rsid w:val="0039783B"/>
    <w:rsid w:val="003C03ED"/>
    <w:rsid w:val="003C09F6"/>
    <w:rsid w:val="003C281F"/>
    <w:rsid w:val="003C472F"/>
    <w:rsid w:val="003D109F"/>
    <w:rsid w:val="003D414C"/>
    <w:rsid w:val="003E3C0F"/>
    <w:rsid w:val="0040208E"/>
    <w:rsid w:val="004205D6"/>
    <w:rsid w:val="0044683A"/>
    <w:rsid w:val="00450E4B"/>
    <w:rsid w:val="00456A9C"/>
    <w:rsid w:val="00474C8B"/>
    <w:rsid w:val="00482B47"/>
    <w:rsid w:val="00483367"/>
    <w:rsid w:val="00491EDA"/>
    <w:rsid w:val="0049282C"/>
    <w:rsid w:val="00496C47"/>
    <w:rsid w:val="004B398D"/>
    <w:rsid w:val="004D0F54"/>
    <w:rsid w:val="004D5C5D"/>
    <w:rsid w:val="004E1E07"/>
    <w:rsid w:val="004E3ABC"/>
    <w:rsid w:val="004E72F4"/>
    <w:rsid w:val="004F775C"/>
    <w:rsid w:val="00502996"/>
    <w:rsid w:val="00505498"/>
    <w:rsid w:val="00550938"/>
    <w:rsid w:val="0055130A"/>
    <w:rsid w:val="005537F7"/>
    <w:rsid w:val="00554CA5"/>
    <w:rsid w:val="00574E91"/>
    <w:rsid w:val="005B5DAC"/>
    <w:rsid w:val="005C6ACA"/>
    <w:rsid w:val="005D3685"/>
    <w:rsid w:val="00615179"/>
    <w:rsid w:val="00623138"/>
    <w:rsid w:val="00633DAD"/>
    <w:rsid w:val="006357D2"/>
    <w:rsid w:val="00651B40"/>
    <w:rsid w:val="0066676F"/>
    <w:rsid w:val="00687071"/>
    <w:rsid w:val="006942B9"/>
    <w:rsid w:val="00695C68"/>
    <w:rsid w:val="006A12E0"/>
    <w:rsid w:val="006A72B5"/>
    <w:rsid w:val="006C7056"/>
    <w:rsid w:val="006D329D"/>
    <w:rsid w:val="006D666D"/>
    <w:rsid w:val="006E20A3"/>
    <w:rsid w:val="006E67BD"/>
    <w:rsid w:val="006F1B94"/>
    <w:rsid w:val="006F3091"/>
    <w:rsid w:val="00704EE2"/>
    <w:rsid w:val="0071708C"/>
    <w:rsid w:val="007320B8"/>
    <w:rsid w:val="00745746"/>
    <w:rsid w:val="007628AD"/>
    <w:rsid w:val="00765C11"/>
    <w:rsid w:val="00795397"/>
    <w:rsid w:val="007A073E"/>
    <w:rsid w:val="007B312E"/>
    <w:rsid w:val="007C7592"/>
    <w:rsid w:val="007D3E4E"/>
    <w:rsid w:val="008218B0"/>
    <w:rsid w:val="00823744"/>
    <w:rsid w:val="00823906"/>
    <w:rsid w:val="00871821"/>
    <w:rsid w:val="00881C90"/>
    <w:rsid w:val="00883850"/>
    <w:rsid w:val="00886C92"/>
    <w:rsid w:val="00887E16"/>
    <w:rsid w:val="008A4551"/>
    <w:rsid w:val="008B0703"/>
    <w:rsid w:val="008B265D"/>
    <w:rsid w:val="008C6753"/>
    <w:rsid w:val="008D4BE8"/>
    <w:rsid w:val="008E1812"/>
    <w:rsid w:val="008F23ED"/>
    <w:rsid w:val="008F641D"/>
    <w:rsid w:val="0090576C"/>
    <w:rsid w:val="00915B6B"/>
    <w:rsid w:val="00922AAA"/>
    <w:rsid w:val="00925A30"/>
    <w:rsid w:val="0094751F"/>
    <w:rsid w:val="009548AD"/>
    <w:rsid w:val="00962B62"/>
    <w:rsid w:val="00963520"/>
    <w:rsid w:val="00965FF4"/>
    <w:rsid w:val="00970E36"/>
    <w:rsid w:val="009719D4"/>
    <w:rsid w:val="0097759B"/>
    <w:rsid w:val="009B5BDB"/>
    <w:rsid w:val="009E432D"/>
    <w:rsid w:val="009F4B0A"/>
    <w:rsid w:val="00A153FC"/>
    <w:rsid w:val="00A17376"/>
    <w:rsid w:val="00A21765"/>
    <w:rsid w:val="00A36D65"/>
    <w:rsid w:val="00A47D97"/>
    <w:rsid w:val="00A52CDB"/>
    <w:rsid w:val="00A552AC"/>
    <w:rsid w:val="00A56A90"/>
    <w:rsid w:val="00A8581D"/>
    <w:rsid w:val="00AA134F"/>
    <w:rsid w:val="00AB15A0"/>
    <w:rsid w:val="00AC157C"/>
    <w:rsid w:val="00AD3BDB"/>
    <w:rsid w:val="00AD52CE"/>
    <w:rsid w:val="00B04C3F"/>
    <w:rsid w:val="00B432A9"/>
    <w:rsid w:val="00B549D2"/>
    <w:rsid w:val="00B56FEF"/>
    <w:rsid w:val="00B7084F"/>
    <w:rsid w:val="00B73F9B"/>
    <w:rsid w:val="00B858CB"/>
    <w:rsid w:val="00B9034E"/>
    <w:rsid w:val="00BC41C8"/>
    <w:rsid w:val="00BD4ADE"/>
    <w:rsid w:val="00C0390B"/>
    <w:rsid w:val="00C04689"/>
    <w:rsid w:val="00C132B9"/>
    <w:rsid w:val="00C15C7C"/>
    <w:rsid w:val="00C35F88"/>
    <w:rsid w:val="00C5533D"/>
    <w:rsid w:val="00C64ABB"/>
    <w:rsid w:val="00C66A16"/>
    <w:rsid w:val="00C678F9"/>
    <w:rsid w:val="00C70FEF"/>
    <w:rsid w:val="00C72C4B"/>
    <w:rsid w:val="00C81733"/>
    <w:rsid w:val="00C8738F"/>
    <w:rsid w:val="00CA29F0"/>
    <w:rsid w:val="00CC692A"/>
    <w:rsid w:val="00CF2BBA"/>
    <w:rsid w:val="00D020A2"/>
    <w:rsid w:val="00D0251A"/>
    <w:rsid w:val="00D31CFC"/>
    <w:rsid w:val="00D32819"/>
    <w:rsid w:val="00D5072A"/>
    <w:rsid w:val="00D60434"/>
    <w:rsid w:val="00D9409D"/>
    <w:rsid w:val="00DA6349"/>
    <w:rsid w:val="00DA7DC8"/>
    <w:rsid w:val="00DB7A16"/>
    <w:rsid w:val="00DE0A6C"/>
    <w:rsid w:val="00DE6F14"/>
    <w:rsid w:val="00E03894"/>
    <w:rsid w:val="00E10938"/>
    <w:rsid w:val="00E21767"/>
    <w:rsid w:val="00E22D0D"/>
    <w:rsid w:val="00E72D1F"/>
    <w:rsid w:val="00E75DF7"/>
    <w:rsid w:val="00E80F4B"/>
    <w:rsid w:val="00EA6D9D"/>
    <w:rsid w:val="00EC7D24"/>
    <w:rsid w:val="00ED79C7"/>
    <w:rsid w:val="00EF783A"/>
    <w:rsid w:val="00F032D5"/>
    <w:rsid w:val="00F35516"/>
    <w:rsid w:val="00F40CDB"/>
    <w:rsid w:val="00F434A2"/>
    <w:rsid w:val="00F44663"/>
    <w:rsid w:val="00F674DE"/>
    <w:rsid w:val="00F74FE8"/>
    <w:rsid w:val="00F9225F"/>
    <w:rsid w:val="00F97D6A"/>
    <w:rsid w:val="00FA1580"/>
    <w:rsid w:val="00FC42C8"/>
    <w:rsid w:val="00FD5E20"/>
    <w:rsid w:val="00FD638E"/>
    <w:rsid w:val="00FE165F"/>
    <w:rsid w:val="00FE67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25A"/>
  </w:style>
  <w:style w:type="paragraph" w:styleId="Fuzeile">
    <w:name w:val="footer"/>
    <w:basedOn w:val="Standard"/>
    <w:link w:val="FuzeileZchn"/>
    <w:uiPriority w:val="99"/>
    <w:unhideWhenUsed/>
    <w:rsid w:val="00037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25A"/>
  </w:style>
  <w:style w:type="paragraph" w:styleId="Sprechblasentext">
    <w:name w:val="Balloon Text"/>
    <w:basedOn w:val="Standard"/>
    <w:link w:val="SprechblasentextZchn"/>
    <w:uiPriority w:val="99"/>
    <w:semiHidden/>
    <w:unhideWhenUsed/>
    <w:rsid w:val="00B7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84F"/>
    <w:rPr>
      <w:rFonts w:ascii="Tahoma" w:hAnsi="Tahoma" w:cs="Tahoma"/>
      <w:sz w:val="16"/>
      <w:szCs w:val="16"/>
    </w:rPr>
  </w:style>
  <w:style w:type="paragraph" w:styleId="Textkrper">
    <w:name w:val="Body Text"/>
    <w:basedOn w:val="Standard"/>
    <w:link w:val="TextkrperZchn"/>
    <w:semiHidden/>
    <w:rsid w:val="001F4744"/>
    <w:pPr>
      <w:spacing w:before="180" w:after="0" w:line="336" w:lineRule="auto"/>
      <w:jc w:val="both"/>
    </w:pPr>
    <w:rPr>
      <w:rFonts w:ascii="Tahoma" w:eastAsia="Times New Roman" w:hAnsi="Tahoma" w:cs="Times New Roman"/>
      <w:szCs w:val="20"/>
      <w:lang w:eastAsia="de-AT"/>
    </w:rPr>
  </w:style>
  <w:style w:type="character" w:customStyle="1" w:styleId="TextkrperZchn">
    <w:name w:val="Textkörper Zchn"/>
    <w:basedOn w:val="Absatz-Standardschriftart"/>
    <w:link w:val="Textkrper"/>
    <w:semiHidden/>
    <w:rsid w:val="001F4744"/>
    <w:rPr>
      <w:rFonts w:ascii="Tahoma" w:eastAsia="Times New Roman" w:hAnsi="Tahoma" w:cs="Times New Roman"/>
      <w:szCs w:val="20"/>
      <w:lang w:eastAsia="de-AT"/>
    </w:rPr>
  </w:style>
  <w:style w:type="character" w:customStyle="1" w:styleId="berschrift1Zchn">
    <w:name w:val="Überschrift 1 Zchn"/>
    <w:basedOn w:val="Absatz-Standardschriftart"/>
    <w:link w:val="berschrift1"/>
    <w:uiPriority w:val="9"/>
    <w:rsid w:val="003C03ED"/>
    <w:rPr>
      <w:rFonts w:asciiTheme="majorHAnsi" w:eastAsiaTheme="majorEastAsia" w:hAnsiTheme="majorHAnsi" w:cstheme="majorBidi"/>
      <w:b/>
      <w:bCs/>
      <w:color w:val="365F91" w:themeColor="accent1" w:themeShade="BF"/>
      <w:sz w:val="28"/>
      <w:szCs w:val="28"/>
    </w:rPr>
  </w:style>
  <w:style w:type="paragraph" w:customStyle="1" w:styleId="Quelle">
    <w:name w:val="Quelle"/>
    <w:basedOn w:val="Standard"/>
    <w:next w:val="Standard"/>
    <w:rsid w:val="00C8738F"/>
    <w:pPr>
      <w:spacing w:before="120" w:after="120" w:line="336" w:lineRule="auto"/>
      <w:jc w:val="center"/>
    </w:pPr>
    <w:rPr>
      <w:rFonts w:ascii="Tahoma" w:eastAsia="Times New Roman" w:hAnsi="Tahoma" w:cs="Times New Roman"/>
      <w:sz w:val="20"/>
      <w:szCs w:val="20"/>
      <w:lang w:val="de-DE" w:eastAsia="de-AT"/>
    </w:rPr>
  </w:style>
  <w:style w:type="character" w:styleId="Kommentarzeichen">
    <w:name w:val="annotation reference"/>
    <w:basedOn w:val="Absatz-Standardschriftart"/>
    <w:uiPriority w:val="99"/>
    <w:semiHidden/>
    <w:unhideWhenUsed/>
    <w:rsid w:val="00505498"/>
    <w:rPr>
      <w:sz w:val="16"/>
      <w:szCs w:val="16"/>
    </w:rPr>
  </w:style>
  <w:style w:type="paragraph" w:styleId="Kommentartext">
    <w:name w:val="annotation text"/>
    <w:basedOn w:val="Standard"/>
    <w:link w:val="KommentartextZchn"/>
    <w:uiPriority w:val="99"/>
    <w:semiHidden/>
    <w:unhideWhenUsed/>
    <w:rsid w:val="00505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5498"/>
    <w:rPr>
      <w:sz w:val="20"/>
      <w:szCs w:val="20"/>
    </w:rPr>
  </w:style>
  <w:style w:type="paragraph" w:styleId="Kommentarthema">
    <w:name w:val="annotation subject"/>
    <w:basedOn w:val="Kommentartext"/>
    <w:next w:val="Kommentartext"/>
    <w:link w:val="KommentarthemaZchn"/>
    <w:uiPriority w:val="99"/>
    <w:semiHidden/>
    <w:unhideWhenUsed/>
    <w:rsid w:val="00505498"/>
    <w:rPr>
      <w:b/>
      <w:bCs/>
    </w:rPr>
  </w:style>
  <w:style w:type="character" w:customStyle="1" w:styleId="KommentarthemaZchn">
    <w:name w:val="Kommentarthema Zchn"/>
    <w:basedOn w:val="KommentartextZchn"/>
    <w:link w:val="Kommentarthema"/>
    <w:uiPriority w:val="99"/>
    <w:semiHidden/>
    <w:rsid w:val="00505498"/>
    <w:rPr>
      <w:b/>
      <w:bCs/>
      <w:sz w:val="20"/>
      <w:szCs w:val="20"/>
    </w:rPr>
  </w:style>
  <w:style w:type="paragraph" w:styleId="berarbeitung">
    <w:name w:val="Revision"/>
    <w:hidden/>
    <w:uiPriority w:val="99"/>
    <w:semiHidden/>
    <w:rsid w:val="002C3FAB"/>
    <w:pPr>
      <w:spacing w:after="0" w:line="240" w:lineRule="auto"/>
    </w:pPr>
  </w:style>
  <w:style w:type="paragraph" w:styleId="Listenabsatz">
    <w:name w:val="List Paragraph"/>
    <w:basedOn w:val="Standard"/>
    <w:uiPriority w:val="34"/>
    <w:qFormat/>
    <w:rsid w:val="00DE0A6C"/>
    <w:pPr>
      <w:spacing w:before="180" w:after="0" w:line="336" w:lineRule="auto"/>
      <w:ind w:left="720"/>
      <w:contextualSpacing/>
      <w:jc w:val="both"/>
    </w:pPr>
    <w:rPr>
      <w:rFonts w:ascii="Tahoma" w:eastAsia="Times New Roman" w:hAnsi="Tahoma" w:cs="Times New Roman"/>
      <w:sz w:val="21"/>
      <w:szCs w:val="20"/>
      <w:lang w:val="de-DE" w:eastAsia="de-AT"/>
    </w:rPr>
  </w:style>
  <w:style w:type="paragraph" w:styleId="StandardWeb">
    <w:name w:val="Normal (Web)"/>
    <w:basedOn w:val="Standard"/>
    <w:uiPriority w:val="99"/>
    <w:semiHidden/>
    <w:unhideWhenUsed/>
    <w:rsid w:val="00241FB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138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C03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372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725A"/>
  </w:style>
  <w:style w:type="paragraph" w:styleId="Fuzeile">
    <w:name w:val="footer"/>
    <w:basedOn w:val="Standard"/>
    <w:link w:val="FuzeileZchn"/>
    <w:uiPriority w:val="99"/>
    <w:unhideWhenUsed/>
    <w:rsid w:val="000372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725A"/>
  </w:style>
  <w:style w:type="paragraph" w:styleId="Sprechblasentext">
    <w:name w:val="Balloon Text"/>
    <w:basedOn w:val="Standard"/>
    <w:link w:val="SprechblasentextZchn"/>
    <w:uiPriority w:val="99"/>
    <w:semiHidden/>
    <w:unhideWhenUsed/>
    <w:rsid w:val="00B7084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084F"/>
    <w:rPr>
      <w:rFonts w:ascii="Tahoma" w:hAnsi="Tahoma" w:cs="Tahoma"/>
      <w:sz w:val="16"/>
      <w:szCs w:val="16"/>
    </w:rPr>
  </w:style>
  <w:style w:type="paragraph" w:styleId="Textkrper">
    <w:name w:val="Body Text"/>
    <w:basedOn w:val="Standard"/>
    <w:link w:val="TextkrperZchn"/>
    <w:semiHidden/>
    <w:rsid w:val="001F4744"/>
    <w:pPr>
      <w:spacing w:before="180" w:after="0" w:line="336" w:lineRule="auto"/>
      <w:jc w:val="both"/>
    </w:pPr>
    <w:rPr>
      <w:rFonts w:ascii="Tahoma" w:eastAsia="Times New Roman" w:hAnsi="Tahoma" w:cs="Times New Roman"/>
      <w:szCs w:val="20"/>
      <w:lang w:eastAsia="de-AT"/>
    </w:rPr>
  </w:style>
  <w:style w:type="character" w:customStyle="1" w:styleId="TextkrperZchn">
    <w:name w:val="Textkörper Zchn"/>
    <w:basedOn w:val="Absatz-Standardschriftart"/>
    <w:link w:val="Textkrper"/>
    <w:semiHidden/>
    <w:rsid w:val="001F4744"/>
    <w:rPr>
      <w:rFonts w:ascii="Tahoma" w:eastAsia="Times New Roman" w:hAnsi="Tahoma" w:cs="Times New Roman"/>
      <w:szCs w:val="20"/>
      <w:lang w:eastAsia="de-AT"/>
    </w:rPr>
  </w:style>
  <w:style w:type="character" w:customStyle="1" w:styleId="berschrift1Zchn">
    <w:name w:val="Überschrift 1 Zchn"/>
    <w:basedOn w:val="Absatz-Standardschriftart"/>
    <w:link w:val="berschrift1"/>
    <w:uiPriority w:val="9"/>
    <w:rsid w:val="003C03ED"/>
    <w:rPr>
      <w:rFonts w:asciiTheme="majorHAnsi" w:eastAsiaTheme="majorEastAsia" w:hAnsiTheme="majorHAnsi" w:cstheme="majorBidi"/>
      <w:b/>
      <w:bCs/>
      <w:color w:val="365F91" w:themeColor="accent1" w:themeShade="BF"/>
      <w:sz w:val="28"/>
      <w:szCs w:val="28"/>
    </w:rPr>
  </w:style>
  <w:style w:type="paragraph" w:customStyle="1" w:styleId="Quelle">
    <w:name w:val="Quelle"/>
    <w:basedOn w:val="Standard"/>
    <w:next w:val="Standard"/>
    <w:rsid w:val="00C8738F"/>
    <w:pPr>
      <w:spacing w:before="120" w:after="120" w:line="336" w:lineRule="auto"/>
      <w:jc w:val="center"/>
    </w:pPr>
    <w:rPr>
      <w:rFonts w:ascii="Tahoma" w:eastAsia="Times New Roman" w:hAnsi="Tahoma" w:cs="Times New Roman"/>
      <w:sz w:val="20"/>
      <w:szCs w:val="20"/>
      <w:lang w:val="de-DE" w:eastAsia="de-AT"/>
    </w:rPr>
  </w:style>
  <w:style w:type="character" w:styleId="Kommentarzeichen">
    <w:name w:val="annotation reference"/>
    <w:basedOn w:val="Absatz-Standardschriftart"/>
    <w:uiPriority w:val="99"/>
    <w:semiHidden/>
    <w:unhideWhenUsed/>
    <w:rsid w:val="00505498"/>
    <w:rPr>
      <w:sz w:val="16"/>
      <w:szCs w:val="16"/>
    </w:rPr>
  </w:style>
  <w:style w:type="paragraph" w:styleId="Kommentartext">
    <w:name w:val="annotation text"/>
    <w:basedOn w:val="Standard"/>
    <w:link w:val="KommentartextZchn"/>
    <w:uiPriority w:val="99"/>
    <w:semiHidden/>
    <w:unhideWhenUsed/>
    <w:rsid w:val="005054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05498"/>
    <w:rPr>
      <w:sz w:val="20"/>
      <w:szCs w:val="20"/>
    </w:rPr>
  </w:style>
  <w:style w:type="paragraph" w:styleId="Kommentarthema">
    <w:name w:val="annotation subject"/>
    <w:basedOn w:val="Kommentartext"/>
    <w:next w:val="Kommentartext"/>
    <w:link w:val="KommentarthemaZchn"/>
    <w:uiPriority w:val="99"/>
    <w:semiHidden/>
    <w:unhideWhenUsed/>
    <w:rsid w:val="00505498"/>
    <w:rPr>
      <w:b/>
      <w:bCs/>
    </w:rPr>
  </w:style>
  <w:style w:type="character" w:customStyle="1" w:styleId="KommentarthemaZchn">
    <w:name w:val="Kommentarthema Zchn"/>
    <w:basedOn w:val="KommentartextZchn"/>
    <w:link w:val="Kommentarthema"/>
    <w:uiPriority w:val="99"/>
    <w:semiHidden/>
    <w:rsid w:val="00505498"/>
    <w:rPr>
      <w:b/>
      <w:bCs/>
      <w:sz w:val="20"/>
      <w:szCs w:val="20"/>
    </w:rPr>
  </w:style>
  <w:style w:type="paragraph" w:styleId="berarbeitung">
    <w:name w:val="Revision"/>
    <w:hidden/>
    <w:uiPriority w:val="99"/>
    <w:semiHidden/>
    <w:rsid w:val="002C3FAB"/>
    <w:pPr>
      <w:spacing w:after="0" w:line="240" w:lineRule="auto"/>
    </w:pPr>
  </w:style>
  <w:style w:type="paragraph" w:styleId="Listenabsatz">
    <w:name w:val="List Paragraph"/>
    <w:basedOn w:val="Standard"/>
    <w:uiPriority w:val="34"/>
    <w:qFormat/>
    <w:rsid w:val="00DE0A6C"/>
    <w:pPr>
      <w:spacing w:before="180" w:after="0" w:line="336" w:lineRule="auto"/>
      <w:ind w:left="720"/>
      <w:contextualSpacing/>
      <w:jc w:val="both"/>
    </w:pPr>
    <w:rPr>
      <w:rFonts w:ascii="Tahoma" w:eastAsia="Times New Roman" w:hAnsi="Tahoma" w:cs="Times New Roman"/>
      <w:sz w:val="21"/>
      <w:szCs w:val="20"/>
      <w:lang w:val="de-DE" w:eastAsia="de-AT"/>
    </w:rPr>
  </w:style>
  <w:style w:type="paragraph" w:styleId="StandardWeb">
    <w:name w:val="Normal (Web)"/>
    <w:basedOn w:val="Standard"/>
    <w:uiPriority w:val="99"/>
    <w:semiHidden/>
    <w:unhideWhenUsed/>
    <w:rsid w:val="00241FB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313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7626">
      <w:bodyDiv w:val="1"/>
      <w:marLeft w:val="0"/>
      <w:marRight w:val="0"/>
      <w:marTop w:val="0"/>
      <w:marBottom w:val="0"/>
      <w:divBdr>
        <w:top w:val="none" w:sz="0" w:space="0" w:color="auto"/>
        <w:left w:val="none" w:sz="0" w:space="0" w:color="auto"/>
        <w:bottom w:val="none" w:sz="0" w:space="0" w:color="auto"/>
        <w:right w:val="none" w:sz="0" w:space="0" w:color="auto"/>
      </w:divBdr>
    </w:div>
    <w:div w:id="156310676">
      <w:bodyDiv w:val="1"/>
      <w:marLeft w:val="0"/>
      <w:marRight w:val="0"/>
      <w:marTop w:val="0"/>
      <w:marBottom w:val="0"/>
      <w:divBdr>
        <w:top w:val="none" w:sz="0" w:space="0" w:color="auto"/>
        <w:left w:val="none" w:sz="0" w:space="0" w:color="auto"/>
        <w:bottom w:val="none" w:sz="0" w:space="0" w:color="auto"/>
        <w:right w:val="none" w:sz="0" w:space="0" w:color="auto"/>
      </w:divBdr>
    </w:div>
    <w:div w:id="548759354">
      <w:bodyDiv w:val="1"/>
      <w:marLeft w:val="0"/>
      <w:marRight w:val="0"/>
      <w:marTop w:val="0"/>
      <w:marBottom w:val="0"/>
      <w:divBdr>
        <w:top w:val="none" w:sz="0" w:space="0" w:color="auto"/>
        <w:left w:val="none" w:sz="0" w:space="0" w:color="auto"/>
        <w:bottom w:val="none" w:sz="0" w:space="0" w:color="auto"/>
        <w:right w:val="none" w:sz="0" w:space="0" w:color="auto"/>
      </w:divBdr>
    </w:div>
    <w:div w:id="1141076832">
      <w:bodyDiv w:val="1"/>
      <w:marLeft w:val="0"/>
      <w:marRight w:val="0"/>
      <w:marTop w:val="0"/>
      <w:marBottom w:val="0"/>
      <w:divBdr>
        <w:top w:val="none" w:sz="0" w:space="0" w:color="auto"/>
        <w:left w:val="none" w:sz="0" w:space="0" w:color="auto"/>
        <w:bottom w:val="none" w:sz="0" w:space="0" w:color="auto"/>
        <w:right w:val="none" w:sz="0" w:space="0" w:color="auto"/>
      </w:divBdr>
    </w:div>
    <w:div w:id="1153569527">
      <w:bodyDiv w:val="1"/>
      <w:marLeft w:val="0"/>
      <w:marRight w:val="0"/>
      <w:marTop w:val="0"/>
      <w:marBottom w:val="0"/>
      <w:divBdr>
        <w:top w:val="none" w:sz="0" w:space="0" w:color="auto"/>
        <w:left w:val="none" w:sz="0" w:space="0" w:color="auto"/>
        <w:bottom w:val="none" w:sz="0" w:space="0" w:color="auto"/>
        <w:right w:val="none" w:sz="0" w:space="0" w:color="auto"/>
      </w:divBdr>
      <w:divsChild>
        <w:div w:id="1004670342">
          <w:marLeft w:val="0"/>
          <w:marRight w:val="0"/>
          <w:marTop w:val="0"/>
          <w:marBottom w:val="0"/>
          <w:divBdr>
            <w:top w:val="single" w:sz="2" w:space="0" w:color="auto"/>
            <w:left w:val="single" w:sz="2" w:space="0" w:color="auto"/>
            <w:bottom w:val="single" w:sz="6" w:space="0" w:color="auto"/>
            <w:right w:val="single" w:sz="2" w:space="0" w:color="auto"/>
          </w:divBdr>
          <w:divsChild>
            <w:div w:id="60762580">
              <w:marLeft w:val="0"/>
              <w:marRight w:val="0"/>
              <w:marTop w:val="100"/>
              <w:marBottom w:val="100"/>
              <w:divBdr>
                <w:top w:val="single" w:sz="2" w:space="0" w:color="D9D9E3"/>
                <w:left w:val="single" w:sz="2" w:space="0" w:color="D9D9E3"/>
                <w:bottom w:val="single" w:sz="2" w:space="0" w:color="D9D9E3"/>
                <w:right w:val="single" w:sz="2" w:space="0" w:color="D9D9E3"/>
              </w:divBdr>
              <w:divsChild>
                <w:div w:id="1767726874">
                  <w:marLeft w:val="0"/>
                  <w:marRight w:val="0"/>
                  <w:marTop w:val="0"/>
                  <w:marBottom w:val="0"/>
                  <w:divBdr>
                    <w:top w:val="single" w:sz="2" w:space="0" w:color="D9D9E3"/>
                    <w:left w:val="single" w:sz="2" w:space="0" w:color="D9D9E3"/>
                    <w:bottom w:val="single" w:sz="2" w:space="0" w:color="D9D9E3"/>
                    <w:right w:val="single" w:sz="2" w:space="0" w:color="D9D9E3"/>
                  </w:divBdr>
                  <w:divsChild>
                    <w:div w:id="1757820744">
                      <w:marLeft w:val="0"/>
                      <w:marRight w:val="0"/>
                      <w:marTop w:val="0"/>
                      <w:marBottom w:val="0"/>
                      <w:divBdr>
                        <w:top w:val="single" w:sz="2" w:space="0" w:color="D9D9E3"/>
                        <w:left w:val="single" w:sz="2" w:space="0" w:color="D9D9E3"/>
                        <w:bottom w:val="single" w:sz="2" w:space="0" w:color="D9D9E3"/>
                        <w:right w:val="single" w:sz="2" w:space="0" w:color="D9D9E3"/>
                      </w:divBdr>
                      <w:divsChild>
                        <w:div w:id="1843013214">
                          <w:marLeft w:val="0"/>
                          <w:marRight w:val="0"/>
                          <w:marTop w:val="0"/>
                          <w:marBottom w:val="0"/>
                          <w:divBdr>
                            <w:top w:val="single" w:sz="2" w:space="0" w:color="D9D9E3"/>
                            <w:left w:val="single" w:sz="2" w:space="0" w:color="D9D9E3"/>
                            <w:bottom w:val="single" w:sz="2" w:space="0" w:color="D9D9E3"/>
                            <w:right w:val="single" w:sz="2" w:space="0" w:color="D9D9E3"/>
                          </w:divBdr>
                          <w:divsChild>
                            <w:div w:id="8186934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28823824">
          <w:marLeft w:val="0"/>
          <w:marRight w:val="0"/>
          <w:marTop w:val="0"/>
          <w:marBottom w:val="0"/>
          <w:divBdr>
            <w:top w:val="single" w:sz="2" w:space="0" w:color="auto"/>
            <w:left w:val="single" w:sz="2" w:space="0" w:color="auto"/>
            <w:bottom w:val="single" w:sz="6" w:space="0" w:color="auto"/>
            <w:right w:val="single" w:sz="2" w:space="0" w:color="auto"/>
          </w:divBdr>
          <w:divsChild>
            <w:div w:id="1844202571">
              <w:marLeft w:val="0"/>
              <w:marRight w:val="0"/>
              <w:marTop w:val="100"/>
              <w:marBottom w:val="100"/>
              <w:divBdr>
                <w:top w:val="single" w:sz="2" w:space="0" w:color="D9D9E3"/>
                <w:left w:val="single" w:sz="2" w:space="0" w:color="D9D9E3"/>
                <w:bottom w:val="single" w:sz="2" w:space="0" w:color="D9D9E3"/>
                <w:right w:val="single" w:sz="2" w:space="0" w:color="D9D9E3"/>
              </w:divBdr>
              <w:divsChild>
                <w:div w:id="1818377890">
                  <w:marLeft w:val="0"/>
                  <w:marRight w:val="0"/>
                  <w:marTop w:val="0"/>
                  <w:marBottom w:val="0"/>
                  <w:divBdr>
                    <w:top w:val="single" w:sz="2" w:space="0" w:color="D9D9E3"/>
                    <w:left w:val="single" w:sz="2" w:space="0" w:color="D9D9E3"/>
                    <w:bottom w:val="single" w:sz="2" w:space="0" w:color="D9D9E3"/>
                    <w:right w:val="single" w:sz="2" w:space="0" w:color="D9D9E3"/>
                  </w:divBdr>
                  <w:divsChild>
                    <w:div w:id="1748841795">
                      <w:marLeft w:val="0"/>
                      <w:marRight w:val="0"/>
                      <w:marTop w:val="0"/>
                      <w:marBottom w:val="0"/>
                      <w:divBdr>
                        <w:top w:val="single" w:sz="2" w:space="0" w:color="D9D9E3"/>
                        <w:left w:val="single" w:sz="2" w:space="0" w:color="D9D9E3"/>
                        <w:bottom w:val="single" w:sz="2" w:space="0" w:color="D9D9E3"/>
                        <w:right w:val="single" w:sz="2" w:space="0" w:color="D9D9E3"/>
                      </w:divBdr>
                      <w:divsChild>
                        <w:div w:id="1433013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700011493">
                  <w:marLeft w:val="0"/>
                  <w:marRight w:val="0"/>
                  <w:marTop w:val="0"/>
                  <w:marBottom w:val="0"/>
                  <w:divBdr>
                    <w:top w:val="single" w:sz="2" w:space="0" w:color="D9D9E3"/>
                    <w:left w:val="single" w:sz="2" w:space="0" w:color="D9D9E3"/>
                    <w:bottom w:val="single" w:sz="2" w:space="0" w:color="D9D9E3"/>
                    <w:right w:val="single" w:sz="2" w:space="0" w:color="D9D9E3"/>
                  </w:divBdr>
                  <w:divsChild>
                    <w:div w:id="230390708">
                      <w:marLeft w:val="0"/>
                      <w:marRight w:val="0"/>
                      <w:marTop w:val="0"/>
                      <w:marBottom w:val="0"/>
                      <w:divBdr>
                        <w:top w:val="single" w:sz="2" w:space="0" w:color="D9D9E3"/>
                        <w:left w:val="single" w:sz="2" w:space="0" w:color="D9D9E3"/>
                        <w:bottom w:val="single" w:sz="2" w:space="0" w:color="D9D9E3"/>
                        <w:right w:val="single" w:sz="2" w:space="0" w:color="D9D9E3"/>
                      </w:divBdr>
                      <w:divsChild>
                        <w:div w:id="621301772">
                          <w:marLeft w:val="0"/>
                          <w:marRight w:val="0"/>
                          <w:marTop w:val="0"/>
                          <w:marBottom w:val="0"/>
                          <w:divBdr>
                            <w:top w:val="single" w:sz="2" w:space="0" w:color="D9D9E3"/>
                            <w:left w:val="single" w:sz="2" w:space="0" w:color="D9D9E3"/>
                            <w:bottom w:val="single" w:sz="2" w:space="0" w:color="D9D9E3"/>
                            <w:right w:val="single" w:sz="2" w:space="0" w:color="D9D9E3"/>
                          </w:divBdr>
                          <w:divsChild>
                            <w:div w:id="20117877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02325106">
      <w:bodyDiv w:val="1"/>
      <w:marLeft w:val="0"/>
      <w:marRight w:val="0"/>
      <w:marTop w:val="0"/>
      <w:marBottom w:val="0"/>
      <w:divBdr>
        <w:top w:val="none" w:sz="0" w:space="0" w:color="auto"/>
        <w:left w:val="none" w:sz="0" w:space="0" w:color="auto"/>
        <w:bottom w:val="none" w:sz="0" w:space="0" w:color="auto"/>
        <w:right w:val="none" w:sz="0" w:space="0" w:color="auto"/>
      </w:divBdr>
    </w:div>
    <w:div w:id="12620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iodata.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salihovic@regiodata.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DD8D-ACB0-41DF-B3F5-E61DEDF2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5054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RegioData - Wolfgang Richter</dc:creator>
  <cp:lastModifiedBy>RegioData – Amela Salihovic</cp:lastModifiedBy>
  <cp:revision>24</cp:revision>
  <cp:lastPrinted>2023-07-05T09:29:00Z</cp:lastPrinted>
  <dcterms:created xsi:type="dcterms:W3CDTF">2023-07-04T12:45:00Z</dcterms:created>
  <dcterms:modified xsi:type="dcterms:W3CDTF">2023-07-06T14:04:00Z</dcterms:modified>
</cp:coreProperties>
</file>