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A" w:rsidRDefault="0003725A" w:rsidP="003C03ED">
      <w:pPr>
        <w:pStyle w:val="berschrift1"/>
      </w:pPr>
    </w:p>
    <w:p w:rsidR="0003725A" w:rsidRPr="003B0D82" w:rsidRDefault="0003725A" w:rsidP="0003725A">
      <w:pPr>
        <w:rPr>
          <w:rFonts w:ascii="Arial" w:hAnsi="Arial" w:cs="Arial"/>
          <w:b/>
          <w:bCs/>
          <w:sz w:val="20"/>
          <w:szCs w:val="20"/>
          <w:lang w:val="de-DE"/>
        </w:rPr>
      </w:pPr>
      <w:r w:rsidRPr="00F16748">
        <w:rPr>
          <w:rFonts w:ascii="Arial" w:hAnsi="Arial" w:cs="Arial"/>
          <w:bCs/>
          <w:color w:val="009ADB"/>
          <w:spacing w:val="10"/>
          <w:szCs w:val="20"/>
          <w:lang w:val="de-DE"/>
        </w:rPr>
        <w:t>PRESSEKONTAKT</w:t>
      </w:r>
      <w:r w:rsidRPr="003B0D82">
        <w:rPr>
          <w:rFonts w:ascii="Arial" w:hAnsi="Arial" w:cs="Arial"/>
          <w:sz w:val="20"/>
          <w:szCs w:val="20"/>
          <w:lang w:val="de-DE"/>
        </w:rPr>
        <w:tab/>
      </w:r>
      <w:r>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 </w:t>
      </w:r>
      <w:r>
        <w:rPr>
          <w:rFonts w:ascii="Arial" w:hAnsi="Arial" w:cs="Arial"/>
          <w:sz w:val="20"/>
          <w:szCs w:val="20"/>
          <w:lang w:val="de-DE"/>
        </w:rPr>
        <w:tab/>
      </w:r>
      <w:r w:rsidRPr="00F16748">
        <w:rPr>
          <w:rFonts w:ascii="Arial" w:hAnsi="Arial" w:cs="Arial"/>
          <w:bCs/>
          <w:color w:val="009ADB"/>
          <w:spacing w:val="10"/>
          <w:szCs w:val="20"/>
          <w:lang w:val="de-DE"/>
        </w:rPr>
        <w:t>DATUM</w:t>
      </w:r>
      <w:r w:rsidRPr="003B0D82">
        <w:rPr>
          <w:rFonts w:ascii="Arial" w:hAnsi="Arial" w:cs="Arial"/>
          <w:b/>
          <w:bCs/>
          <w:sz w:val="20"/>
          <w:szCs w:val="20"/>
          <w:lang w:val="de-DE"/>
        </w:rPr>
        <w:tab/>
      </w:r>
      <w:r>
        <w:rPr>
          <w:rFonts w:ascii="Arial" w:hAnsi="Arial" w:cs="Arial"/>
          <w:b/>
          <w:bCs/>
          <w:sz w:val="20"/>
          <w:szCs w:val="20"/>
          <w:lang w:val="de-DE"/>
        </w:rPr>
        <w:t xml:space="preserve"> </w:t>
      </w:r>
    </w:p>
    <w:p w:rsidR="0003725A" w:rsidRPr="00491EDA" w:rsidRDefault="0003725A" w:rsidP="0003725A">
      <w:pPr>
        <w:rPr>
          <w:rFonts w:ascii="Arial" w:hAnsi="Arial" w:cs="Arial"/>
          <w:color w:val="525556"/>
          <w:sz w:val="20"/>
          <w:szCs w:val="20"/>
        </w:rPr>
      </w:pPr>
      <w:r w:rsidRPr="003D414C">
        <w:rPr>
          <w:rFonts w:ascii="Arial" w:hAnsi="Arial" w:cs="Arial"/>
          <w:b/>
          <w:color w:val="525556"/>
          <w:sz w:val="20"/>
          <w:szCs w:val="20"/>
        </w:rPr>
        <w:t xml:space="preserve">RegioData Research GmbH </w:t>
      </w:r>
      <w:r w:rsidRPr="003D414C">
        <w:rPr>
          <w:rFonts w:ascii="Arial" w:hAnsi="Arial" w:cs="Arial"/>
          <w:b/>
          <w:color w:val="525556"/>
          <w:sz w:val="20"/>
          <w:szCs w:val="20"/>
        </w:rPr>
        <w:tab/>
      </w:r>
      <w:r w:rsidRPr="003D414C">
        <w:rPr>
          <w:rFonts w:ascii="Arial" w:hAnsi="Arial" w:cs="Arial"/>
          <w:b/>
          <w:color w:val="525556"/>
          <w:sz w:val="20"/>
          <w:szCs w:val="20"/>
        </w:rPr>
        <w:tab/>
      </w:r>
      <w:r w:rsidRPr="003D414C">
        <w:rPr>
          <w:rFonts w:ascii="Arial" w:hAnsi="Arial" w:cs="Arial"/>
          <w:b/>
          <w:color w:val="525556"/>
          <w:sz w:val="20"/>
          <w:szCs w:val="20"/>
        </w:rPr>
        <w:tab/>
      </w:r>
      <w:r w:rsidRPr="003D414C">
        <w:rPr>
          <w:rFonts w:ascii="Arial" w:hAnsi="Arial" w:cs="Arial"/>
          <w:b/>
          <w:color w:val="525556"/>
          <w:sz w:val="20"/>
          <w:szCs w:val="20"/>
        </w:rPr>
        <w:tab/>
      </w:r>
      <w:r w:rsidRPr="003D414C">
        <w:rPr>
          <w:rFonts w:ascii="Arial" w:hAnsi="Arial" w:cs="Arial"/>
          <w:b/>
          <w:color w:val="525556"/>
          <w:sz w:val="20"/>
          <w:szCs w:val="20"/>
        </w:rPr>
        <w:tab/>
      </w:r>
      <w:r w:rsidRPr="003D414C">
        <w:rPr>
          <w:rFonts w:ascii="Arial" w:hAnsi="Arial" w:cs="Arial"/>
          <w:b/>
          <w:color w:val="525556"/>
          <w:sz w:val="20"/>
          <w:szCs w:val="20"/>
        </w:rPr>
        <w:tab/>
      </w:r>
      <w:r w:rsidR="00F74FE8">
        <w:rPr>
          <w:rFonts w:ascii="Arial" w:hAnsi="Arial" w:cs="Arial"/>
          <w:b/>
          <w:color w:val="525556"/>
          <w:sz w:val="20"/>
          <w:szCs w:val="20"/>
        </w:rPr>
        <w:t>06.</w:t>
      </w:r>
      <w:bookmarkStart w:id="0" w:name="_GoBack"/>
      <w:bookmarkEnd w:id="0"/>
      <w:r w:rsidR="00574E91">
        <w:rPr>
          <w:rFonts w:ascii="Arial" w:hAnsi="Arial" w:cs="Arial"/>
          <w:b/>
          <w:color w:val="525556"/>
          <w:sz w:val="20"/>
          <w:szCs w:val="20"/>
        </w:rPr>
        <w:t xml:space="preserve"> Juli</w:t>
      </w:r>
      <w:r w:rsidR="002C1B70" w:rsidRPr="003D414C">
        <w:rPr>
          <w:rFonts w:ascii="Arial" w:hAnsi="Arial" w:cs="Arial"/>
          <w:b/>
          <w:color w:val="525556"/>
          <w:sz w:val="20"/>
          <w:szCs w:val="20"/>
        </w:rPr>
        <w:t xml:space="preserve"> 2023</w:t>
      </w:r>
      <w:r w:rsidRPr="003D414C">
        <w:rPr>
          <w:rFonts w:ascii="Arial" w:hAnsi="Arial" w:cs="Arial"/>
          <w:color w:val="525556"/>
          <w:sz w:val="20"/>
          <w:szCs w:val="20"/>
        </w:rPr>
        <w:br/>
        <w:t>Amela Salihovic, M.A.</w:t>
      </w:r>
      <w:r w:rsidRPr="003D414C">
        <w:rPr>
          <w:rFonts w:ascii="Arial" w:hAnsi="Arial" w:cs="Arial"/>
          <w:color w:val="525556"/>
          <w:sz w:val="20"/>
          <w:szCs w:val="20"/>
        </w:rPr>
        <w:br/>
      </w:r>
      <w:proofErr w:type="spellStart"/>
      <w:r w:rsidRPr="003D414C">
        <w:rPr>
          <w:rFonts w:ascii="Arial" w:hAnsi="Arial" w:cs="Arial"/>
          <w:color w:val="525556"/>
          <w:sz w:val="20"/>
          <w:szCs w:val="20"/>
        </w:rPr>
        <w:t>Theobaldgasse</w:t>
      </w:r>
      <w:proofErr w:type="spellEnd"/>
      <w:r w:rsidRPr="003D414C">
        <w:rPr>
          <w:rFonts w:ascii="Arial" w:hAnsi="Arial" w:cs="Arial"/>
          <w:color w:val="525556"/>
          <w:sz w:val="20"/>
          <w:szCs w:val="20"/>
        </w:rPr>
        <w:t xml:space="preserve"> 8 | 1060 Wien</w:t>
      </w:r>
      <w:r w:rsidRPr="003D414C">
        <w:rPr>
          <w:rFonts w:ascii="Arial" w:hAnsi="Arial" w:cs="Arial"/>
          <w:color w:val="525556"/>
          <w:sz w:val="20"/>
          <w:szCs w:val="20"/>
        </w:rPr>
        <w:br/>
        <w:t>+43 1 585 76 27-50</w:t>
      </w:r>
      <w:r w:rsidRPr="003D414C">
        <w:rPr>
          <w:rFonts w:ascii="Arial" w:hAnsi="Arial" w:cs="Arial"/>
          <w:color w:val="525556"/>
          <w:sz w:val="20"/>
          <w:szCs w:val="20"/>
        </w:rPr>
        <w:br/>
      </w:r>
      <w:hyperlink r:id="rId9" w:history="1">
        <w:r w:rsidRPr="003D414C">
          <w:rPr>
            <w:rFonts w:ascii="Arial" w:hAnsi="Arial" w:cs="Arial"/>
            <w:color w:val="525556"/>
            <w:sz w:val="20"/>
            <w:szCs w:val="20"/>
          </w:rPr>
          <w:t>a.sal</w:t>
        </w:r>
        <w:r w:rsidRPr="00491EDA">
          <w:rPr>
            <w:rFonts w:ascii="Arial" w:hAnsi="Arial" w:cs="Arial"/>
            <w:color w:val="525556"/>
            <w:sz w:val="20"/>
            <w:szCs w:val="20"/>
          </w:rPr>
          <w:t>ihovic@regiodata.eu</w:t>
        </w:r>
      </w:hyperlink>
      <w:r w:rsidRPr="00491EDA">
        <w:rPr>
          <w:rFonts w:ascii="Arial" w:hAnsi="Arial" w:cs="Arial"/>
          <w:color w:val="525556"/>
          <w:sz w:val="20"/>
          <w:szCs w:val="20"/>
        </w:rPr>
        <w:br/>
        <w:t>www.regiodata.eu</w:t>
      </w:r>
    </w:p>
    <w:p w:rsidR="0003725A" w:rsidRPr="00491EDA" w:rsidRDefault="0003725A">
      <w:pPr>
        <w:rPr>
          <w:sz w:val="24"/>
          <w:szCs w:val="24"/>
        </w:rPr>
      </w:pPr>
    </w:p>
    <w:p w:rsidR="009719D4" w:rsidRDefault="00491EDA" w:rsidP="006A12E0">
      <w:pPr>
        <w:spacing w:line="360" w:lineRule="auto"/>
        <w:rPr>
          <w:rFonts w:ascii="Arial" w:hAnsi="Arial" w:cs="Arial"/>
          <w:b/>
          <w:bCs/>
          <w:sz w:val="20"/>
          <w:szCs w:val="20"/>
          <w:lang w:val="de-DE"/>
        </w:rPr>
      </w:pPr>
      <w:r>
        <w:rPr>
          <w:rFonts w:ascii="Arial" w:hAnsi="Arial" w:cs="Arial"/>
          <w:bCs/>
          <w:color w:val="009ADB"/>
          <w:spacing w:val="10"/>
          <w:sz w:val="24"/>
          <w:szCs w:val="20"/>
          <w:lang w:val="de-DE"/>
        </w:rPr>
        <w:t>KAUFKRAFT</w:t>
      </w:r>
      <w:r w:rsidR="009719D4">
        <w:rPr>
          <w:rFonts w:ascii="Arial" w:hAnsi="Arial" w:cs="Arial"/>
          <w:bCs/>
          <w:color w:val="009ADB"/>
          <w:spacing w:val="10"/>
          <w:sz w:val="24"/>
          <w:szCs w:val="20"/>
          <w:lang w:val="de-DE"/>
        </w:rPr>
        <w:t xml:space="preserve">: </w:t>
      </w:r>
      <w:r>
        <w:rPr>
          <w:rFonts w:ascii="Arial" w:hAnsi="Arial" w:cs="Arial"/>
          <w:bCs/>
          <w:color w:val="009ADB"/>
          <w:spacing w:val="10"/>
          <w:sz w:val="24"/>
          <w:szCs w:val="20"/>
          <w:lang w:val="de-DE"/>
        </w:rPr>
        <w:t>ÖSTERREICH FÄLLT IM RANKING</w:t>
      </w:r>
      <w:r w:rsidR="00D32819">
        <w:rPr>
          <w:rFonts w:ascii="Arial" w:hAnsi="Arial" w:cs="Arial"/>
          <w:bCs/>
          <w:color w:val="009ADB"/>
          <w:spacing w:val="10"/>
          <w:sz w:val="24"/>
          <w:szCs w:val="20"/>
          <w:lang w:val="de-DE"/>
        </w:rPr>
        <w:t xml:space="preserve"> GEGENÜBER DEUTSC</w:t>
      </w:r>
      <w:r w:rsidR="00D32819">
        <w:rPr>
          <w:rFonts w:ascii="Arial" w:hAnsi="Arial" w:cs="Arial"/>
          <w:bCs/>
          <w:color w:val="009ADB"/>
          <w:spacing w:val="10"/>
          <w:sz w:val="24"/>
          <w:szCs w:val="20"/>
          <w:lang w:val="de-DE"/>
        </w:rPr>
        <w:t>H</w:t>
      </w:r>
      <w:r w:rsidR="00D32819">
        <w:rPr>
          <w:rFonts w:ascii="Arial" w:hAnsi="Arial" w:cs="Arial"/>
          <w:bCs/>
          <w:color w:val="009ADB"/>
          <w:spacing w:val="10"/>
          <w:sz w:val="24"/>
          <w:szCs w:val="20"/>
          <w:lang w:val="de-DE"/>
        </w:rPr>
        <w:t>LAND</w:t>
      </w:r>
      <w:r>
        <w:rPr>
          <w:rFonts w:ascii="Arial" w:hAnsi="Arial" w:cs="Arial"/>
          <w:bCs/>
          <w:color w:val="009ADB"/>
          <w:spacing w:val="10"/>
          <w:sz w:val="24"/>
          <w:szCs w:val="20"/>
          <w:lang w:val="de-DE"/>
        </w:rPr>
        <w:t xml:space="preserve"> ZURÜCK</w:t>
      </w:r>
    </w:p>
    <w:p w:rsidR="00886C92" w:rsidRDefault="000A20A1" w:rsidP="0003725A">
      <w:pPr>
        <w:spacing w:line="360" w:lineRule="auto"/>
        <w:jc w:val="both"/>
        <w:rPr>
          <w:rFonts w:ascii="Arial" w:hAnsi="Arial" w:cs="Arial"/>
          <w:b/>
          <w:bCs/>
          <w:sz w:val="20"/>
          <w:szCs w:val="20"/>
          <w:lang w:val="de-DE"/>
        </w:rPr>
      </w:pPr>
      <w:r>
        <w:rPr>
          <w:rFonts w:ascii="Arial" w:hAnsi="Arial" w:cs="Arial"/>
          <w:b/>
          <w:bCs/>
          <w:sz w:val="20"/>
          <w:szCs w:val="20"/>
          <w:lang w:val="de-DE"/>
        </w:rPr>
        <w:t>RegioData hat die jährli</w:t>
      </w:r>
      <w:r w:rsidR="003218D1">
        <w:rPr>
          <w:rFonts w:ascii="Arial" w:hAnsi="Arial" w:cs="Arial"/>
          <w:b/>
          <w:bCs/>
          <w:sz w:val="20"/>
          <w:szCs w:val="20"/>
          <w:lang w:val="de-DE"/>
        </w:rPr>
        <w:t>che Kaufkraft-</w:t>
      </w:r>
      <w:r>
        <w:rPr>
          <w:rFonts w:ascii="Arial" w:hAnsi="Arial" w:cs="Arial"/>
          <w:b/>
          <w:bCs/>
          <w:sz w:val="20"/>
          <w:szCs w:val="20"/>
          <w:lang w:val="de-DE"/>
        </w:rPr>
        <w:t xml:space="preserve">Studie aktualisiert: </w:t>
      </w:r>
      <w:r w:rsidR="00D32819">
        <w:rPr>
          <w:rFonts w:ascii="Arial" w:hAnsi="Arial" w:cs="Arial"/>
          <w:b/>
          <w:bCs/>
          <w:sz w:val="20"/>
          <w:szCs w:val="20"/>
          <w:lang w:val="de-DE"/>
        </w:rPr>
        <w:t>D</w:t>
      </w:r>
      <w:r w:rsidR="00276D3B">
        <w:rPr>
          <w:rFonts w:ascii="Arial" w:hAnsi="Arial" w:cs="Arial"/>
          <w:b/>
          <w:bCs/>
          <w:sz w:val="20"/>
          <w:szCs w:val="20"/>
          <w:lang w:val="de-DE"/>
        </w:rPr>
        <w:t>ie österreichischen Kaufkraftz</w:t>
      </w:r>
      <w:r w:rsidR="00276D3B">
        <w:rPr>
          <w:rFonts w:ascii="Arial" w:hAnsi="Arial" w:cs="Arial"/>
          <w:b/>
          <w:bCs/>
          <w:sz w:val="20"/>
          <w:szCs w:val="20"/>
          <w:lang w:val="de-DE"/>
        </w:rPr>
        <w:t>u</w:t>
      </w:r>
      <w:r w:rsidR="00276D3B">
        <w:rPr>
          <w:rFonts w:ascii="Arial" w:hAnsi="Arial" w:cs="Arial"/>
          <w:b/>
          <w:bCs/>
          <w:sz w:val="20"/>
          <w:szCs w:val="20"/>
          <w:lang w:val="de-DE"/>
        </w:rPr>
        <w:t>wächse</w:t>
      </w:r>
      <w:r w:rsidR="00D32819">
        <w:rPr>
          <w:rFonts w:ascii="Arial" w:hAnsi="Arial" w:cs="Arial"/>
          <w:b/>
          <w:bCs/>
          <w:sz w:val="20"/>
          <w:szCs w:val="20"/>
          <w:lang w:val="de-DE"/>
        </w:rPr>
        <w:t xml:space="preserve"> waren im Durchschnitt (nominell) beträchtlich,</w:t>
      </w:r>
      <w:r w:rsidR="00276D3B">
        <w:rPr>
          <w:rFonts w:ascii="Arial" w:hAnsi="Arial" w:cs="Arial"/>
          <w:b/>
          <w:bCs/>
          <w:sz w:val="20"/>
          <w:szCs w:val="20"/>
          <w:lang w:val="de-DE"/>
        </w:rPr>
        <w:t xml:space="preserve"> werden </w:t>
      </w:r>
      <w:r w:rsidR="00D32819">
        <w:rPr>
          <w:rFonts w:ascii="Arial" w:hAnsi="Arial" w:cs="Arial"/>
          <w:b/>
          <w:bCs/>
          <w:sz w:val="20"/>
          <w:szCs w:val="20"/>
          <w:lang w:val="de-DE"/>
        </w:rPr>
        <w:t xml:space="preserve">aber </w:t>
      </w:r>
      <w:r w:rsidR="00276D3B">
        <w:rPr>
          <w:rFonts w:ascii="Arial" w:hAnsi="Arial" w:cs="Arial"/>
          <w:b/>
          <w:bCs/>
          <w:sz w:val="20"/>
          <w:szCs w:val="20"/>
          <w:lang w:val="de-DE"/>
        </w:rPr>
        <w:t>durch die Inflation torp</w:t>
      </w:r>
      <w:r w:rsidR="00276D3B">
        <w:rPr>
          <w:rFonts w:ascii="Arial" w:hAnsi="Arial" w:cs="Arial"/>
          <w:b/>
          <w:bCs/>
          <w:sz w:val="20"/>
          <w:szCs w:val="20"/>
          <w:lang w:val="de-DE"/>
        </w:rPr>
        <w:t>e</w:t>
      </w:r>
      <w:r w:rsidR="00276D3B">
        <w:rPr>
          <w:rFonts w:ascii="Arial" w:hAnsi="Arial" w:cs="Arial"/>
          <w:b/>
          <w:bCs/>
          <w:sz w:val="20"/>
          <w:szCs w:val="20"/>
          <w:lang w:val="de-DE"/>
        </w:rPr>
        <w:t>diert</w:t>
      </w:r>
      <w:r w:rsidR="003218D1">
        <w:rPr>
          <w:rFonts w:ascii="Arial" w:hAnsi="Arial" w:cs="Arial"/>
          <w:b/>
          <w:bCs/>
          <w:sz w:val="20"/>
          <w:szCs w:val="20"/>
          <w:lang w:val="de-DE"/>
        </w:rPr>
        <w:t xml:space="preserve">, so </w:t>
      </w:r>
      <w:r w:rsidR="00D32819">
        <w:rPr>
          <w:rFonts w:ascii="Arial" w:hAnsi="Arial" w:cs="Arial"/>
          <w:b/>
          <w:bCs/>
          <w:sz w:val="20"/>
          <w:szCs w:val="20"/>
          <w:lang w:val="de-DE"/>
        </w:rPr>
        <w:t>dass real sogar ein leichter Kaufkraftverlust entsteht. Der Ausblick ist jedoch günst</w:t>
      </w:r>
      <w:r w:rsidR="00D32819">
        <w:rPr>
          <w:rFonts w:ascii="Arial" w:hAnsi="Arial" w:cs="Arial"/>
          <w:b/>
          <w:bCs/>
          <w:sz w:val="20"/>
          <w:szCs w:val="20"/>
          <w:lang w:val="de-DE"/>
        </w:rPr>
        <w:t>i</w:t>
      </w:r>
      <w:r w:rsidR="00D32819">
        <w:rPr>
          <w:rFonts w:ascii="Arial" w:hAnsi="Arial" w:cs="Arial"/>
          <w:b/>
          <w:bCs/>
          <w:sz w:val="20"/>
          <w:szCs w:val="20"/>
          <w:lang w:val="de-DE"/>
        </w:rPr>
        <w:t>ger!</w:t>
      </w:r>
    </w:p>
    <w:p w:rsidR="00A153FC" w:rsidRDefault="00A153FC" w:rsidP="0003725A">
      <w:pPr>
        <w:spacing w:line="360" w:lineRule="auto"/>
        <w:jc w:val="both"/>
        <w:rPr>
          <w:rFonts w:ascii="Arial" w:hAnsi="Arial" w:cs="Arial"/>
          <w:b/>
          <w:bCs/>
          <w:sz w:val="20"/>
          <w:szCs w:val="20"/>
          <w:lang w:val="de-DE"/>
        </w:rPr>
      </w:pPr>
    </w:p>
    <w:p w:rsidR="006A72B5" w:rsidRPr="0038260A" w:rsidRDefault="00C0390B" w:rsidP="0003725A">
      <w:pPr>
        <w:spacing w:line="360" w:lineRule="auto"/>
        <w:jc w:val="both"/>
        <w:rPr>
          <w:rFonts w:ascii="Arial" w:hAnsi="Arial" w:cs="Arial"/>
          <w:bCs/>
          <w:spacing w:val="10"/>
          <w:sz w:val="24"/>
          <w:szCs w:val="20"/>
          <w:lang w:val="de-DE"/>
        </w:rPr>
      </w:pPr>
      <w:r>
        <w:rPr>
          <w:rFonts w:ascii="Arial" w:hAnsi="Arial" w:cs="Arial"/>
          <w:bCs/>
          <w:spacing w:val="10"/>
          <w:sz w:val="24"/>
          <w:szCs w:val="20"/>
          <w:lang w:val="de-DE"/>
        </w:rPr>
        <w:t>Starker nomineller Anstieg der österreichischen Kaufkraft</w:t>
      </w:r>
    </w:p>
    <w:p w:rsidR="00C0390B" w:rsidRPr="00C0390B" w:rsidRDefault="0038260A" w:rsidP="003C472F">
      <w:pPr>
        <w:spacing w:line="360" w:lineRule="auto"/>
        <w:jc w:val="both"/>
        <w:rPr>
          <w:rFonts w:ascii="Arial" w:hAnsi="Arial" w:cs="Arial"/>
          <w:bCs/>
          <w:sz w:val="20"/>
          <w:szCs w:val="24"/>
          <w:lang w:val="de-DE"/>
        </w:rPr>
      </w:pPr>
      <w:r w:rsidRPr="00C0390B">
        <w:rPr>
          <w:rFonts w:ascii="Arial" w:hAnsi="Arial" w:cs="Arial"/>
          <w:bCs/>
          <w:sz w:val="20"/>
          <w:szCs w:val="24"/>
          <w:lang w:val="de-DE"/>
        </w:rPr>
        <w:t xml:space="preserve">2022 verfügten die Österreicher über eine durchschnittliche Kaufkraft von € 25.163 </w:t>
      </w:r>
      <w:r w:rsidRPr="0038260A">
        <w:rPr>
          <w:rFonts w:ascii="Arial" w:hAnsi="Arial" w:cs="Arial"/>
          <w:bCs/>
          <w:sz w:val="20"/>
          <w:szCs w:val="24"/>
          <w:lang w:val="de-DE"/>
        </w:rPr>
        <w:t xml:space="preserve">pro Kopf und Jahr. Nominell </w:t>
      </w:r>
      <w:r>
        <w:rPr>
          <w:rFonts w:ascii="Arial" w:hAnsi="Arial" w:cs="Arial"/>
          <w:bCs/>
          <w:sz w:val="20"/>
          <w:szCs w:val="24"/>
          <w:lang w:val="de-DE"/>
        </w:rPr>
        <w:t>entspricht das einem Anstieg von 8,5 % gegenüber dem Vorjahr</w:t>
      </w:r>
      <w:r w:rsidR="00474C8B">
        <w:rPr>
          <w:rFonts w:ascii="Arial" w:hAnsi="Arial" w:cs="Arial"/>
          <w:bCs/>
          <w:sz w:val="20"/>
          <w:szCs w:val="24"/>
          <w:lang w:val="de-DE"/>
        </w:rPr>
        <w:t xml:space="preserve"> – so hoch wie seit 20 Ja</w:t>
      </w:r>
      <w:r w:rsidR="00474C8B">
        <w:rPr>
          <w:rFonts w:ascii="Arial" w:hAnsi="Arial" w:cs="Arial"/>
          <w:bCs/>
          <w:sz w:val="20"/>
          <w:szCs w:val="24"/>
          <w:lang w:val="de-DE"/>
        </w:rPr>
        <w:t>h</w:t>
      </w:r>
      <w:r w:rsidR="00474C8B">
        <w:rPr>
          <w:rFonts w:ascii="Arial" w:hAnsi="Arial" w:cs="Arial"/>
          <w:bCs/>
          <w:sz w:val="20"/>
          <w:szCs w:val="24"/>
          <w:lang w:val="de-DE"/>
        </w:rPr>
        <w:t>ren nicht</w:t>
      </w:r>
      <w:r w:rsidR="001714E2">
        <w:rPr>
          <w:rFonts w:ascii="Arial" w:hAnsi="Arial" w:cs="Arial"/>
          <w:bCs/>
          <w:sz w:val="20"/>
          <w:szCs w:val="24"/>
          <w:lang w:val="de-DE"/>
        </w:rPr>
        <w:t xml:space="preserve">. </w:t>
      </w:r>
      <w:r w:rsidR="00C0390B" w:rsidRPr="00C0390B">
        <w:rPr>
          <w:rFonts w:ascii="Arial" w:hAnsi="Arial" w:cs="Arial"/>
          <w:bCs/>
          <w:sz w:val="20"/>
          <w:szCs w:val="24"/>
          <w:lang w:val="de-DE"/>
        </w:rPr>
        <w:t>Berücksichtigt man allerdings die Jahresinflation</w:t>
      </w:r>
      <w:r w:rsidR="00033A31">
        <w:rPr>
          <w:rFonts w:ascii="Arial" w:hAnsi="Arial" w:cs="Arial"/>
          <w:bCs/>
          <w:sz w:val="20"/>
          <w:szCs w:val="24"/>
          <w:lang w:val="de-DE"/>
        </w:rPr>
        <w:t xml:space="preserve"> von 8,6 % im vergangenen Jahr, </w:t>
      </w:r>
      <w:r w:rsidR="00C0390B" w:rsidRPr="00C0390B">
        <w:rPr>
          <w:rFonts w:ascii="Arial" w:hAnsi="Arial" w:cs="Arial"/>
          <w:bCs/>
          <w:sz w:val="20"/>
          <w:szCs w:val="24"/>
          <w:lang w:val="de-DE"/>
        </w:rPr>
        <w:t xml:space="preserve">frisst die Inflation </w:t>
      </w:r>
      <w:r w:rsidR="00D32819">
        <w:rPr>
          <w:rFonts w:ascii="Arial" w:hAnsi="Arial" w:cs="Arial"/>
          <w:bCs/>
          <w:sz w:val="20"/>
          <w:szCs w:val="24"/>
          <w:lang w:val="de-DE"/>
        </w:rPr>
        <w:t>alles</w:t>
      </w:r>
      <w:r w:rsidR="00C0390B" w:rsidRPr="00C0390B">
        <w:rPr>
          <w:rFonts w:ascii="Arial" w:hAnsi="Arial" w:cs="Arial"/>
          <w:bCs/>
          <w:sz w:val="20"/>
          <w:szCs w:val="24"/>
          <w:lang w:val="de-DE"/>
        </w:rPr>
        <w:t xml:space="preserve"> weg, weshalb sich sogar ein leichtes Minus in der </w:t>
      </w:r>
      <w:r w:rsidR="00D32819">
        <w:rPr>
          <w:rFonts w:ascii="Arial" w:hAnsi="Arial" w:cs="Arial"/>
          <w:bCs/>
          <w:sz w:val="20"/>
          <w:szCs w:val="24"/>
          <w:lang w:val="de-DE"/>
        </w:rPr>
        <w:t xml:space="preserve">realen </w:t>
      </w:r>
      <w:r w:rsidR="00C0390B" w:rsidRPr="00C0390B">
        <w:rPr>
          <w:rFonts w:ascii="Arial" w:hAnsi="Arial" w:cs="Arial"/>
          <w:bCs/>
          <w:sz w:val="20"/>
          <w:szCs w:val="24"/>
          <w:lang w:val="de-DE"/>
        </w:rPr>
        <w:t xml:space="preserve">Kaufkraft ergibt. </w:t>
      </w:r>
    </w:p>
    <w:p w:rsidR="003C472F" w:rsidRDefault="003C472F" w:rsidP="0003725A">
      <w:pPr>
        <w:spacing w:line="360" w:lineRule="auto"/>
        <w:jc w:val="both"/>
        <w:rPr>
          <w:rFonts w:ascii="Arial" w:eastAsia="Times New Roman" w:hAnsi="Arial" w:cs="Arial"/>
          <w:bCs/>
          <w:sz w:val="20"/>
          <w:szCs w:val="20"/>
          <w:lang w:val="de-DE" w:eastAsia="de-DE"/>
        </w:rPr>
      </w:pPr>
      <w:r w:rsidRPr="003C472F">
        <w:rPr>
          <w:rFonts w:ascii="Arial" w:eastAsia="Times New Roman" w:hAnsi="Arial" w:cs="Arial"/>
          <w:sz w:val="20"/>
          <w:szCs w:val="20"/>
          <w:lang w:val="de-DE" w:eastAsia="de-DE"/>
        </w:rPr>
        <w:t>(</w:t>
      </w:r>
      <w:r w:rsidRPr="003C472F">
        <w:rPr>
          <w:rFonts w:ascii="Arial" w:eastAsia="Times New Roman" w:hAnsi="Arial" w:cs="Arial"/>
          <w:bCs/>
          <w:sz w:val="20"/>
          <w:szCs w:val="20"/>
          <w:lang w:val="de-DE" w:eastAsia="de-DE"/>
        </w:rPr>
        <w:t xml:space="preserve">Die „Kaufkraft“ ist definiert als die Summe </w:t>
      </w:r>
      <w:r w:rsidRPr="003C472F">
        <w:rPr>
          <w:rFonts w:ascii="Arial" w:eastAsia="Times New Roman" w:hAnsi="Arial" w:cs="Arial"/>
          <w:bCs/>
          <w:sz w:val="20"/>
          <w:szCs w:val="20"/>
          <w:u w:val="single"/>
          <w:lang w:val="de-DE" w:eastAsia="de-DE"/>
        </w:rPr>
        <w:t>aller</w:t>
      </w:r>
      <w:r w:rsidRPr="003C472F">
        <w:rPr>
          <w:rFonts w:ascii="Arial" w:eastAsia="Times New Roman" w:hAnsi="Arial" w:cs="Arial"/>
          <w:bCs/>
          <w:sz w:val="20"/>
          <w:szCs w:val="20"/>
          <w:lang w:val="de-DE" w:eastAsia="de-DE"/>
        </w:rPr>
        <w:t xml:space="preserve"> Einkunftsarten, also unselbständige Einkommen, selbständige Einkommen, Kapitalvermögen, Vermietung, Landwirtschaft, Pensionen, Beihilfen etc. Abgezogen davon werden die Zwangsabgaben, also Steuern und Sozialversicherung. Die Kaufkraft bezeichnet somit das frei verfügbare Einkommen</w:t>
      </w:r>
      <w:r w:rsidR="003218D1">
        <w:rPr>
          <w:rFonts w:ascii="Arial" w:eastAsia="Times New Roman" w:hAnsi="Arial" w:cs="Arial"/>
          <w:bCs/>
          <w:sz w:val="20"/>
          <w:szCs w:val="20"/>
          <w:lang w:val="de-DE" w:eastAsia="de-DE"/>
        </w:rPr>
        <w:t>.</w:t>
      </w:r>
      <w:r w:rsidRPr="003C472F">
        <w:rPr>
          <w:rFonts w:ascii="Arial" w:eastAsia="Times New Roman" w:hAnsi="Arial" w:cs="Arial"/>
          <w:bCs/>
          <w:sz w:val="20"/>
          <w:szCs w:val="20"/>
          <w:lang w:val="de-DE" w:eastAsia="de-DE"/>
        </w:rPr>
        <w:t>)</w:t>
      </w:r>
    </w:p>
    <w:p w:rsidR="00A153FC" w:rsidRDefault="00A153FC" w:rsidP="0003725A">
      <w:pPr>
        <w:spacing w:line="360" w:lineRule="auto"/>
        <w:jc w:val="both"/>
        <w:rPr>
          <w:rFonts w:ascii="Arial" w:eastAsia="Times New Roman" w:hAnsi="Arial" w:cs="Arial"/>
          <w:bCs/>
          <w:sz w:val="20"/>
          <w:szCs w:val="20"/>
          <w:lang w:val="de-DE" w:eastAsia="de-DE"/>
        </w:rPr>
      </w:pPr>
    </w:p>
    <w:p w:rsidR="003C472F" w:rsidRDefault="003C472F" w:rsidP="003C472F">
      <w:pPr>
        <w:spacing w:line="360" w:lineRule="auto"/>
        <w:jc w:val="both"/>
        <w:rPr>
          <w:rFonts w:ascii="Arial" w:hAnsi="Arial" w:cs="Arial"/>
          <w:bCs/>
          <w:spacing w:val="10"/>
          <w:sz w:val="24"/>
          <w:szCs w:val="20"/>
          <w:lang w:val="de-DE"/>
        </w:rPr>
      </w:pPr>
      <w:r w:rsidRPr="003C472F">
        <w:rPr>
          <w:rFonts w:ascii="Arial" w:hAnsi="Arial" w:cs="Arial"/>
          <w:bCs/>
          <w:spacing w:val="10"/>
          <w:sz w:val="24"/>
          <w:szCs w:val="20"/>
          <w:lang w:val="de-DE"/>
        </w:rPr>
        <w:t xml:space="preserve">Europavergleich: </w:t>
      </w:r>
      <w:r>
        <w:rPr>
          <w:rFonts w:ascii="Arial" w:hAnsi="Arial" w:cs="Arial"/>
          <w:bCs/>
          <w:spacing w:val="10"/>
          <w:sz w:val="24"/>
          <w:szCs w:val="20"/>
          <w:lang w:val="de-DE"/>
        </w:rPr>
        <w:t>Deutschland überholt Österreich</w:t>
      </w:r>
    </w:p>
    <w:p w:rsidR="00092E73" w:rsidRDefault="00B56FEF" w:rsidP="003C472F">
      <w:pPr>
        <w:spacing w:line="36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Die Unterschiede bei der Entwicklung der Kaufkraft auf internationaler Ebene zeigen, dass die wir</w:t>
      </w:r>
      <w:r>
        <w:rPr>
          <w:rFonts w:ascii="Arial" w:eastAsia="Times New Roman" w:hAnsi="Arial" w:cs="Arial"/>
          <w:bCs/>
          <w:sz w:val="20"/>
          <w:szCs w:val="20"/>
          <w:lang w:val="de-DE" w:eastAsia="de-DE"/>
        </w:rPr>
        <w:t>t</w:t>
      </w:r>
      <w:r>
        <w:rPr>
          <w:rFonts w:ascii="Arial" w:eastAsia="Times New Roman" w:hAnsi="Arial" w:cs="Arial"/>
          <w:bCs/>
          <w:sz w:val="20"/>
          <w:szCs w:val="20"/>
          <w:lang w:val="de-DE" w:eastAsia="de-DE"/>
        </w:rPr>
        <w:t xml:space="preserve">schaftliche Lage und die Möglichkeiten des Konsums in verschiedenen Ländern stark variieren. </w:t>
      </w:r>
      <w:r w:rsidR="006A12E0">
        <w:rPr>
          <w:rFonts w:ascii="Arial" w:eastAsia="Times New Roman" w:hAnsi="Arial" w:cs="Arial"/>
          <w:bCs/>
          <w:sz w:val="20"/>
          <w:szCs w:val="20"/>
          <w:lang w:val="de-DE" w:eastAsia="de-DE"/>
        </w:rPr>
        <w:t>Wä</w:t>
      </w:r>
      <w:r w:rsidR="006A12E0">
        <w:rPr>
          <w:rFonts w:ascii="Arial" w:eastAsia="Times New Roman" w:hAnsi="Arial" w:cs="Arial"/>
          <w:bCs/>
          <w:sz w:val="20"/>
          <w:szCs w:val="20"/>
          <w:lang w:val="de-DE" w:eastAsia="de-DE"/>
        </w:rPr>
        <w:t>h</w:t>
      </w:r>
      <w:r w:rsidR="006A12E0">
        <w:rPr>
          <w:rFonts w:ascii="Arial" w:eastAsia="Times New Roman" w:hAnsi="Arial" w:cs="Arial"/>
          <w:bCs/>
          <w:sz w:val="20"/>
          <w:szCs w:val="20"/>
          <w:lang w:val="de-DE" w:eastAsia="de-DE"/>
        </w:rPr>
        <w:t xml:space="preserve">rend im Kosovo ein Einwohner nur ca. € 2.400 zur Verfügung hat, hat ein Schweizer 20 Mal so viel. </w:t>
      </w:r>
      <w:r w:rsidR="00687071" w:rsidRPr="00687071">
        <w:rPr>
          <w:rFonts w:ascii="Arial" w:eastAsia="Times New Roman" w:hAnsi="Arial" w:cs="Arial"/>
          <w:bCs/>
          <w:sz w:val="20"/>
          <w:szCs w:val="20"/>
          <w:lang w:val="de-DE" w:eastAsia="de-DE"/>
        </w:rPr>
        <w:t xml:space="preserve">Wie in den Vorjahren </w:t>
      </w:r>
      <w:r w:rsidR="00AC157C">
        <w:rPr>
          <w:rFonts w:ascii="Arial" w:eastAsia="Times New Roman" w:hAnsi="Arial" w:cs="Arial"/>
          <w:bCs/>
          <w:sz w:val="20"/>
          <w:szCs w:val="20"/>
          <w:lang w:val="de-DE" w:eastAsia="de-DE"/>
        </w:rPr>
        <w:t>liegen</w:t>
      </w:r>
      <w:r w:rsidR="00687071" w:rsidRPr="00687071">
        <w:rPr>
          <w:rFonts w:ascii="Arial" w:eastAsia="Times New Roman" w:hAnsi="Arial" w:cs="Arial"/>
          <w:bCs/>
          <w:sz w:val="20"/>
          <w:szCs w:val="20"/>
          <w:lang w:val="de-DE" w:eastAsia="de-DE"/>
        </w:rPr>
        <w:t xml:space="preserve"> </w:t>
      </w:r>
      <w:r w:rsidR="00D32819">
        <w:rPr>
          <w:rFonts w:ascii="Arial" w:eastAsia="Times New Roman" w:hAnsi="Arial" w:cs="Arial"/>
          <w:bCs/>
          <w:sz w:val="20"/>
          <w:szCs w:val="20"/>
          <w:lang w:val="de-DE" w:eastAsia="de-DE"/>
        </w:rPr>
        <w:t xml:space="preserve">jedoch </w:t>
      </w:r>
      <w:r w:rsidR="00687071" w:rsidRPr="00687071">
        <w:rPr>
          <w:rFonts w:ascii="Arial" w:eastAsia="Times New Roman" w:hAnsi="Arial" w:cs="Arial"/>
          <w:bCs/>
          <w:sz w:val="20"/>
          <w:szCs w:val="20"/>
          <w:lang w:val="de-DE" w:eastAsia="de-DE"/>
        </w:rPr>
        <w:t xml:space="preserve">die vier Länder mit der höchsten Kaufkraft in Europa für den Rest nahezu </w:t>
      </w:r>
      <w:r w:rsidR="00AC157C">
        <w:rPr>
          <w:rFonts w:ascii="Arial" w:eastAsia="Times New Roman" w:hAnsi="Arial" w:cs="Arial"/>
          <w:bCs/>
          <w:sz w:val="20"/>
          <w:szCs w:val="20"/>
          <w:lang w:val="de-DE" w:eastAsia="de-DE"/>
        </w:rPr>
        <w:t>in unerreichbarer Ferne</w:t>
      </w:r>
      <w:r w:rsidR="00D32819">
        <w:rPr>
          <w:rFonts w:ascii="Arial" w:eastAsia="Times New Roman" w:hAnsi="Arial" w:cs="Arial"/>
          <w:bCs/>
          <w:sz w:val="20"/>
          <w:szCs w:val="20"/>
          <w:lang w:val="de-DE" w:eastAsia="de-DE"/>
        </w:rPr>
        <w:t>: Schweiz, Luxemburg, Island und Norwegen</w:t>
      </w:r>
      <w:r w:rsidR="00AC157C">
        <w:rPr>
          <w:rFonts w:ascii="Arial" w:eastAsia="Times New Roman" w:hAnsi="Arial" w:cs="Arial"/>
          <w:bCs/>
          <w:sz w:val="20"/>
          <w:szCs w:val="20"/>
          <w:lang w:val="de-DE" w:eastAsia="de-DE"/>
        </w:rPr>
        <w:t>.</w:t>
      </w:r>
      <w:r w:rsidR="00687071" w:rsidRPr="00687071">
        <w:rPr>
          <w:rFonts w:ascii="Arial" w:eastAsia="Times New Roman" w:hAnsi="Arial" w:cs="Arial"/>
          <w:bCs/>
          <w:sz w:val="20"/>
          <w:szCs w:val="20"/>
          <w:lang w:val="de-DE" w:eastAsia="de-DE"/>
        </w:rPr>
        <w:t xml:space="preserve"> </w:t>
      </w:r>
    </w:p>
    <w:p w:rsidR="00092E73" w:rsidRDefault="00276AA8" w:rsidP="003C472F">
      <w:pPr>
        <w:spacing w:line="36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 xml:space="preserve">Österreich konnte seinen </w:t>
      </w:r>
      <w:r w:rsidR="00D32819">
        <w:rPr>
          <w:rFonts w:ascii="Arial" w:eastAsia="Times New Roman" w:hAnsi="Arial" w:cs="Arial"/>
          <w:bCs/>
          <w:sz w:val="20"/>
          <w:szCs w:val="20"/>
          <w:lang w:val="de-DE" w:eastAsia="de-DE"/>
        </w:rPr>
        <w:t xml:space="preserve">8. </w:t>
      </w:r>
      <w:r>
        <w:rPr>
          <w:rFonts w:ascii="Arial" w:eastAsia="Times New Roman" w:hAnsi="Arial" w:cs="Arial"/>
          <w:bCs/>
          <w:sz w:val="20"/>
          <w:szCs w:val="20"/>
          <w:lang w:val="de-DE" w:eastAsia="de-DE"/>
        </w:rPr>
        <w:t>Platz im europäischen Ranking zwar halten, ist</w:t>
      </w:r>
      <w:r w:rsidR="00AC157C">
        <w:rPr>
          <w:rFonts w:ascii="Arial" w:eastAsia="Times New Roman" w:hAnsi="Arial" w:cs="Arial"/>
          <w:bCs/>
          <w:sz w:val="20"/>
          <w:szCs w:val="20"/>
          <w:lang w:val="de-DE" w:eastAsia="de-DE"/>
        </w:rPr>
        <w:t xml:space="preserve"> heuer</w:t>
      </w:r>
      <w:r>
        <w:rPr>
          <w:rFonts w:ascii="Arial" w:eastAsia="Times New Roman" w:hAnsi="Arial" w:cs="Arial"/>
          <w:bCs/>
          <w:sz w:val="20"/>
          <w:szCs w:val="20"/>
          <w:lang w:val="de-DE" w:eastAsia="de-DE"/>
        </w:rPr>
        <w:t xml:space="preserve"> allerdings erstmals </w:t>
      </w:r>
      <w:r w:rsidR="00D32819">
        <w:rPr>
          <w:rFonts w:ascii="Arial" w:eastAsia="Times New Roman" w:hAnsi="Arial" w:cs="Arial"/>
          <w:bCs/>
          <w:sz w:val="20"/>
          <w:szCs w:val="20"/>
          <w:lang w:val="de-DE" w:eastAsia="de-DE"/>
        </w:rPr>
        <w:t xml:space="preserve">wieder </w:t>
      </w:r>
      <w:r>
        <w:rPr>
          <w:rFonts w:ascii="Arial" w:eastAsia="Times New Roman" w:hAnsi="Arial" w:cs="Arial"/>
          <w:bCs/>
          <w:sz w:val="20"/>
          <w:szCs w:val="20"/>
          <w:lang w:val="de-DE" w:eastAsia="de-DE"/>
        </w:rPr>
        <w:t>hinter Deutschland zurückgefallen</w:t>
      </w:r>
      <w:r w:rsidR="00687071">
        <w:rPr>
          <w:rFonts w:ascii="Arial" w:eastAsia="Times New Roman" w:hAnsi="Arial" w:cs="Arial"/>
          <w:bCs/>
          <w:sz w:val="20"/>
          <w:szCs w:val="20"/>
          <w:lang w:val="de-DE" w:eastAsia="de-DE"/>
        </w:rPr>
        <w:t>.</w:t>
      </w:r>
      <w:r w:rsidR="00687071" w:rsidRPr="00687071">
        <w:rPr>
          <w:rFonts w:ascii="Arial" w:eastAsia="Times New Roman" w:hAnsi="Arial" w:cs="Arial"/>
          <w:bCs/>
          <w:sz w:val="20"/>
          <w:szCs w:val="20"/>
          <w:lang w:val="de-DE" w:eastAsia="de-DE"/>
        </w:rPr>
        <w:t xml:space="preserve"> In den letzten Jahren lag Österreich immer knapp vor </w:t>
      </w:r>
      <w:r w:rsidR="00687071" w:rsidRPr="00687071">
        <w:rPr>
          <w:rFonts w:ascii="Arial" w:eastAsia="Times New Roman" w:hAnsi="Arial" w:cs="Arial"/>
          <w:bCs/>
          <w:sz w:val="20"/>
          <w:szCs w:val="20"/>
          <w:lang w:val="de-DE" w:eastAsia="de-DE"/>
        </w:rPr>
        <w:lastRenderedPageBreak/>
        <w:t>Deutschland</w:t>
      </w:r>
      <w:r w:rsidR="00AC157C">
        <w:rPr>
          <w:rFonts w:ascii="Arial" w:eastAsia="Times New Roman" w:hAnsi="Arial" w:cs="Arial"/>
          <w:bCs/>
          <w:sz w:val="20"/>
          <w:szCs w:val="20"/>
          <w:lang w:val="de-DE" w:eastAsia="de-DE"/>
        </w:rPr>
        <w:t xml:space="preserve">, </w:t>
      </w:r>
      <w:r w:rsidR="00AC157C" w:rsidRPr="00AC157C">
        <w:rPr>
          <w:rFonts w:ascii="Arial" w:eastAsia="Times New Roman" w:hAnsi="Arial" w:cs="Arial"/>
          <w:bCs/>
          <w:sz w:val="20"/>
          <w:szCs w:val="20"/>
          <w:lang w:val="de-DE" w:eastAsia="de-DE"/>
        </w:rPr>
        <w:t xml:space="preserve">aber die Auswirkungen der Corona-Pandemie scheinen hier eine entscheidende Rolle gespielt zu haben. Deutschland hat offenbar die Herausforderungen der Pandemie besser bewältigt und sich wirtschaftlich schneller erholt, was zu </w:t>
      </w:r>
      <w:r w:rsidR="006A12E0">
        <w:rPr>
          <w:rFonts w:ascii="Arial" w:eastAsia="Times New Roman" w:hAnsi="Arial" w:cs="Arial"/>
          <w:bCs/>
          <w:sz w:val="20"/>
          <w:szCs w:val="20"/>
          <w:lang w:val="de-DE" w:eastAsia="de-DE"/>
        </w:rPr>
        <w:t>dem stärkeren</w:t>
      </w:r>
      <w:r w:rsidR="00AC157C" w:rsidRPr="00AC157C">
        <w:rPr>
          <w:rFonts w:ascii="Arial" w:eastAsia="Times New Roman" w:hAnsi="Arial" w:cs="Arial"/>
          <w:bCs/>
          <w:sz w:val="20"/>
          <w:szCs w:val="20"/>
          <w:lang w:val="de-DE" w:eastAsia="de-DE"/>
        </w:rPr>
        <w:t xml:space="preserve"> Anstieg </w:t>
      </w:r>
      <w:r w:rsidR="00AC157C">
        <w:rPr>
          <w:rFonts w:ascii="Arial" w:eastAsia="Times New Roman" w:hAnsi="Arial" w:cs="Arial"/>
          <w:bCs/>
          <w:sz w:val="20"/>
          <w:szCs w:val="20"/>
          <w:lang w:val="de-DE" w:eastAsia="de-DE"/>
        </w:rPr>
        <w:t>der</w:t>
      </w:r>
      <w:r w:rsidR="00AC157C" w:rsidRPr="00AC157C">
        <w:rPr>
          <w:rFonts w:ascii="Arial" w:eastAsia="Times New Roman" w:hAnsi="Arial" w:cs="Arial"/>
          <w:bCs/>
          <w:sz w:val="20"/>
          <w:szCs w:val="20"/>
          <w:lang w:val="de-DE" w:eastAsia="de-DE"/>
        </w:rPr>
        <w:t xml:space="preserve"> Kaufkraft geführt hat.</w:t>
      </w:r>
      <w:r w:rsidR="00F40CDB">
        <w:rPr>
          <w:rFonts w:ascii="Arial" w:eastAsia="Times New Roman" w:hAnsi="Arial" w:cs="Arial"/>
          <w:bCs/>
          <w:sz w:val="20"/>
          <w:szCs w:val="20"/>
          <w:lang w:val="de-DE" w:eastAsia="de-DE"/>
        </w:rPr>
        <w:t xml:space="preserve"> </w:t>
      </w:r>
    </w:p>
    <w:p w:rsidR="0038260A" w:rsidRDefault="00F40CDB" w:rsidP="003C472F">
      <w:pPr>
        <w:spacing w:line="36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 xml:space="preserve">Von der </w:t>
      </w:r>
      <w:r w:rsidR="00695C68" w:rsidRPr="00F40CDB">
        <w:rPr>
          <w:rFonts w:ascii="Arial" w:eastAsia="Times New Roman" w:hAnsi="Arial" w:cs="Arial"/>
          <w:bCs/>
          <w:sz w:val="20"/>
          <w:szCs w:val="20"/>
          <w:lang w:val="de-DE" w:eastAsia="de-DE"/>
        </w:rPr>
        <w:t xml:space="preserve">langjährigen Position im Mittelfeld auf den zehnten Platz im Ranking </w:t>
      </w:r>
      <w:r w:rsidRPr="00F40CDB">
        <w:rPr>
          <w:rFonts w:ascii="Arial" w:eastAsia="Times New Roman" w:hAnsi="Arial" w:cs="Arial"/>
          <w:bCs/>
          <w:sz w:val="20"/>
          <w:szCs w:val="20"/>
          <w:lang w:val="de-DE" w:eastAsia="de-DE"/>
        </w:rPr>
        <w:t>ist nun Schweden</w:t>
      </w:r>
      <w:r w:rsidR="0038260A">
        <w:rPr>
          <w:rFonts w:ascii="Arial" w:eastAsia="Times New Roman" w:hAnsi="Arial" w:cs="Arial"/>
          <w:bCs/>
          <w:sz w:val="20"/>
          <w:szCs w:val="20"/>
          <w:lang w:val="de-DE" w:eastAsia="de-DE"/>
        </w:rPr>
        <w:t xml:space="preserve"> mit einer jährlichen Pro-Kopf-Kaufkraft von etwa € 24.000</w:t>
      </w:r>
      <w:r w:rsidRPr="00F40CDB">
        <w:rPr>
          <w:rFonts w:ascii="Arial" w:eastAsia="Times New Roman" w:hAnsi="Arial" w:cs="Arial"/>
          <w:bCs/>
          <w:sz w:val="20"/>
          <w:szCs w:val="20"/>
          <w:lang w:val="de-DE" w:eastAsia="de-DE"/>
        </w:rPr>
        <w:t xml:space="preserve"> </w:t>
      </w:r>
      <w:r w:rsidR="00695C68" w:rsidRPr="00F40CDB">
        <w:rPr>
          <w:rFonts w:ascii="Arial" w:eastAsia="Times New Roman" w:hAnsi="Arial" w:cs="Arial"/>
          <w:bCs/>
          <w:sz w:val="20"/>
          <w:szCs w:val="20"/>
          <w:lang w:val="de-DE" w:eastAsia="de-DE"/>
        </w:rPr>
        <w:t>abgerutscht.</w:t>
      </w:r>
      <w:r w:rsidR="0038260A">
        <w:rPr>
          <w:rFonts w:ascii="Arial" w:eastAsia="Times New Roman" w:hAnsi="Arial" w:cs="Arial"/>
          <w:bCs/>
          <w:sz w:val="20"/>
          <w:szCs w:val="20"/>
          <w:lang w:val="de-DE" w:eastAsia="de-DE"/>
        </w:rPr>
        <w:t xml:space="preserve"> </w:t>
      </w:r>
      <w:r w:rsidR="0038260A" w:rsidRPr="0038260A">
        <w:rPr>
          <w:rFonts w:ascii="Arial" w:eastAsia="Times New Roman" w:hAnsi="Arial" w:cs="Arial"/>
          <w:bCs/>
          <w:sz w:val="20"/>
          <w:szCs w:val="20"/>
          <w:lang w:val="de-DE" w:eastAsia="de-DE"/>
        </w:rPr>
        <w:t>Einem durchschnittlichen Schwe</w:t>
      </w:r>
      <w:r w:rsidR="0038260A" w:rsidRPr="0038260A">
        <w:rPr>
          <w:rFonts w:ascii="Arial" w:eastAsia="Times New Roman" w:hAnsi="Arial" w:cs="Arial"/>
          <w:bCs/>
          <w:sz w:val="20"/>
          <w:szCs w:val="20"/>
          <w:lang w:val="de-DE" w:eastAsia="de-DE"/>
        </w:rPr>
        <w:t>i</w:t>
      </w:r>
      <w:r w:rsidR="0038260A" w:rsidRPr="0038260A">
        <w:rPr>
          <w:rFonts w:ascii="Arial" w:eastAsia="Times New Roman" w:hAnsi="Arial" w:cs="Arial"/>
          <w:bCs/>
          <w:sz w:val="20"/>
          <w:szCs w:val="20"/>
          <w:lang w:val="de-DE" w:eastAsia="de-DE"/>
        </w:rPr>
        <w:t>zer stehen somit nahezu doppelt so viele Geldmittel zur Verfügung wie einem durchschnittlichen B</w:t>
      </w:r>
      <w:r w:rsidR="0038260A" w:rsidRPr="0038260A">
        <w:rPr>
          <w:rFonts w:ascii="Arial" w:eastAsia="Times New Roman" w:hAnsi="Arial" w:cs="Arial"/>
          <w:bCs/>
          <w:sz w:val="20"/>
          <w:szCs w:val="20"/>
          <w:lang w:val="de-DE" w:eastAsia="de-DE"/>
        </w:rPr>
        <w:t>e</w:t>
      </w:r>
      <w:r w:rsidR="0038260A" w:rsidRPr="0038260A">
        <w:rPr>
          <w:rFonts w:ascii="Arial" w:eastAsia="Times New Roman" w:hAnsi="Arial" w:cs="Arial"/>
          <w:bCs/>
          <w:sz w:val="20"/>
          <w:szCs w:val="20"/>
          <w:lang w:val="de-DE" w:eastAsia="de-DE"/>
        </w:rPr>
        <w:t>wohner Schwedens.</w:t>
      </w:r>
    </w:p>
    <w:p w:rsidR="003218D1" w:rsidRDefault="003218D1" w:rsidP="003C472F">
      <w:pPr>
        <w:spacing w:line="360" w:lineRule="auto"/>
        <w:jc w:val="both"/>
        <w:rPr>
          <w:rFonts w:ascii="Arial" w:eastAsia="Times New Roman" w:hAnsi="Arial" w:cs="Arial"/>
          <w:bCs/>
          <w:sz w:val="20"/>
          <w:szCs w:val="20"/>
          <w:lang w:val="de-DE" w:eastAsia="de-DE"/>
        </w:rPr>
      </w:pPr>
    </w:p>
    <w:p w:rsidR="00F97D6A" w:rsidRDefault="003218D1" w:rsidP="003C472F">
      <w:pPr>
        <w:spacing w:line="360" w:lineRule="auto"/>
        <w:jc w:val="both"/>
        <w:rPr>
          <w:rFonts w:ascii="Arial" w:hAnsi="Arial" w:cs="Arial"/>
          <w:bCs/>
          <w:spacing w:val="10"/>
          <w:sz w:val="24"/>
          <w:szCs w:val="20"/>
          <w:lang w:val="de-DE"/>
        </w:rPr>
      </w:pPr>
      <w:r w:rsidRPr="003218D1">
        <w:rPr>
          <w:rFonts w:ascii="Arial" w:hAnsi="Arial" w:cs="Arial"/>
          <w:bCs/>
          <w:noProof/>
          <w:spacing w:val="10"/>
          <w:sz w:val="24"/>
          <w:szCs w:val="20"/>
          <w:lang w:eastAsia="de-AT"/>
        </w:rPr>
        <w:drawing>
          <wp:inline distT="0" distB="0" distL="0" distR="0" wp14:anchorId="566F4288" wp14:editId="3190E542">
            <wp:extent cx="5760720" cy="3237419"/>
            <wp:effectExtent l="19050" t="19050" r="11430" b="203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37419"/>
                    </a:xfrm>
                    <a:prstGeom prst="rect">
                      <a:avLst/>
                    </a:prstGeom>
                    <a:ln w="3175">
                      <a:solidFill>
                        <a:schemeClr val="bg1">
                          <a:lumMod val="85000"/>
                        </a:schemeClr>
                      </a:solidFill>
                    </a:ln>
                  </pic:spPr>
                </pic:pic>
              </a:graphicData>
            </a:graphic>
          </wp:inline>
        </w:drawing>
      </w:r>
    </w:p>
    <w:p w:rsidR="00A153FC" w:rsidRDefault="00A153FC" w:rsidP="006A12E0">
      <w:pPr>
        <w:spacing w:line="360" w:lineRule="auto"/>
        <w:rPr>
          <w:rFonts w:ascii="Arial" w:hAnsi="Arial" w:cs="Arial"/>
          <w:bCs/>
          <w:spacing w:val="10"/>
          <w:sz w:val="24"/>
          <w:szCs w:val="20"/>
          <w:lang w:val="de-DE"/>
        </w:rPr>
      </w:pPr>
    </w:p>
    <w:p w:rsidR="001826F7" w:rsidRDefault="001826F7" w:rsidP="006A12E0">
      <w:pPr>
        <w:spacing w:line="360" w:lineRule="auto"/>
        <w:rPr>
          <w:rFonts w:ascii="Arial" w:hAnsi="Arial" w:cs="Arial"/>
          <w:bCs/>
          <w:spacing w:val="10"/>
          <w:sz w:val="24"/>
          <w:szCs w:val="20"/>
          <w:lang w:val="de-DE"/>
        </w:rPr>
      </w:pPr>
      <w:r w:rsidRPr="001826F7">
        <w:rPr>
          <w:rFonts w:ascii="Arial" w:hAnsi="Arial" w:cs="Arial"/>
          <w:bCs/>
          <w:spacing w:val="10"/>
          <w:sz w:val="24"/>
          <w:szCs w:val="20"/>
          <w:lang w:val="de-DE"/>
        </w:rPr>
        <w:t xml:space="preserve">Niederösterreich </w:t>
      </w:r>
      <w:r>
        <w:rPr>
          <w:rFonts w:ascii="Arial" w:hAnsi="Arial" w:cs="Arial"/>
          <w:bCs/>
          <w:spacing w:val="10"/>
          <w:sz w:val="24"/>
          <w:szCs w:val="20"/>
          <w:lang w:val="de-DE"/>
        </w:rPr>
        <w:t xml:space="preserve">ist </w:t>
      </w:r>
      <w:r w:rsidRPr="001826F7">
        <w:rPr>
          <w:rFonts w:ascii="Arial" w:hAnsi="Arial" w:cs="Arial"/>
          <w:bCs/>
          <w:spacing w:val="10"/>
          <w:sz w:val="24"/>
          <w:szCs w:val="20"/>
          <w:lang w:val="de-DE"/>
        </w:rPr>
        <w:t xml:space="preserve">die Nummer 1, Kärnten </w:t>
      </w:r>
      <w:r w:rsidR="008F23ED">
        <w:rPr>
          <w:rFonts w:ascii="Arial" w:hAnsi="Arial" w:cs="Arial"/>
          <w:bCs/>
          <w:spacing w:val="10"/>
          <w:sz w:val="24"/>
          <w:szCs w:val="20"/>
          <w:lang w:val="de-DE"/>
        </w:rPr>
        <w:t>bleibt Schlusslicht</w:t>
      </w:r>
    </w:p>
    <w:p w:rsidR="00D32819" w:rsidRDefault="000C7AA7" w:rsidP="0003725A">
      <w:pPr>
        <w:spacing w:line="360" w:lineRule="auto"/>
        <w:jc w:val="both"/>
        <w:rPr>
          <w:rFonts w:ascii="Arial" w:eastAsia="Times New Roman" w:hAnsi="Arial" w:cs="Arial"/>
          <w:bCs/>
          <w:sz w:val="20"/>
          <w:szCs w:val="20"/>
          <w:lang w:val="de-DE" w:eastAsia="de-DE"/>
        </w:rPr>
      </w:pPr>
      <w:r w:rsidRPr="000C7AA7">
        <w:rPr>
          <w:rFonts w:ascii="Arial" w:eastAsia="Times New Roman" w:hAnsi="Arial" w:cs="Arial"/>
          <w:bCs/>
          <w:sz w:val="20"/>
          <w:szCs w:val="20"/>
          <w:lang w:val="de-DE" w:eastAsia="de-DE"/>
        </w:rPr>
        <w:t>Auch die Rangreihung der absoluten Kaufkraft in Österreichs Bundesländern hat sich nicht allzu viel verändert. Das kaufkraftstärkste Bundesland bleibt Niederösterreich mit einer absoluten Kaufkraft</w:t>
      </w:r>
      <w:r>
        <w:rPr>
          <w:rFonts w:cs="Tahoma"/>
        </w:rPr>
        <w:t xml:space="preserve"> </w:t>
      </w:r>
      <w:r w:rsidRPr="000C7AA7">
        <w:rPr>
          <w:rFonts w:ascii="Arial" w:eastAsia="Times New Roman" w:hAnsi="Arial" w:cs="Arial"/>
          <w:bCs/>
          <w:sz w:val="20"/>
          <w:szCs w:val="20"/>
          <w:lang w:val="de-DE" w:eastAsia="de-DE"/>
        </w:rPr>
        <w:t xml:space="preserve">von </w:t>
      </w:r>
      <w:r>
        <w:rPr>
          <w:rFonts w:ascii="Arial" w:eastAsia="Times New Roman" w:hAnsi="Arial" w:cs="Arial"/>
          <w:bCs/>
          <w:sz w:val="20"/>
          <w:szCs w:val="20"/>
          <w:lang w:val="de-DE" w:eastAsia="de-DE"/>
        </w:rPr>
        <w:t>€ 26.222</w:t>
      </w:r>
      <w:r w:rsidRPr="000C7AA7">
        <w:rPr>
          <w:rFonts w:ascii="Arial" w:eastAsia="Times New Roman" w:hAnsi="Arial" w:cs="Arial"/>
          <w:bCs/>
          <w:sz w:val="20"/>
          <w:szCs w:val="20"/>
          <w:lang w:val="de-DE" w:eastAsia="de-DE"/>
        </w:rPr>
        <w:t xml:space="preserve"> pro Kopf im Jahr</w:t>
      </w:r>
      <w:r w:rsidR="006A12E0">
        <w:rPr>
          <w:rFonts w:ascii="Arial" w:eastAsia="Times New Roman" w:hAnsi="Arial" w:cs="Arial"/>
          <w:bCs/>
          <w:sz w:val="20"/>
          <w:szCs w:val="20"/>
          <w:lang w:val="de-DE" w:eastAsia="de-DE"/>
        </w:rPr>
        <w:t xml:space="preserve"> und profitiert so vom „Speckgürtel“ rund um Wien</w:t>
      </w:r>
      <w:r w:rsidRPr="000C7AA7">
        <w:rPr>
          <w:rFonts w:ascii="Arial" w:eastAsia="Times New Roman" w:hAnsi="Arial" w:cs="Arial"/>
          <w:bCs/>
          <w:sz w:val="20"/>
          <w:szCs w:val="20"/>
          <w:lang w:val="de-DE" w:eastAsia="de-DE"/>
        </w:rPr>
        <w:t>.</w:t>
      </w:r>
      <w:r w:rsidR="00D32819">
        <w:rPr>
          <w:rFonts w:ascii="Arial" w:eastAsia="Times New Roman" w:hAnsi="Arial" w:cs="Arial"/>
          <w:bCs/>
          <w:sz w:val="20"/>
          <w:szCs w:val="20"/>
          <w:lang w:val="de-DE" w:eastAsia="de-DE"/>
        </w:rPr>
        <w:t xml:space="preserve"> In den österreichischen Tourismushochburgen Tirol und Salzburg, aber auch abgeschwächt Wien, sind die Nachwirkungen der Corona-Krise zu merken: Die durchschnittliche Kaufkraft entwickelt sich etwas weniger stark als erwartet. </w:t>
      </w:r>
    </w:p>
    <w:p w:rsidR="00F40CDB" w:rsidRDefault="00FC42C8" w:rsidP="006A12E0">
      <w:pPr>
        <w:spacing w:line="360" w:lineRule="auto"/>
        <w:jc w:val="center"/>
        <w:rPr>
          <w:rFonts w:ascii="Arial" w:hAnsi="Arial" w:cs="Arial"/>
          <w:bCs/>
          <w:spacing w:val="10"/>
          <w:sz w:val="24"/>
          <w:szCs w:val="20"/>
          <w:lang w:val="de-DE"/>
        </w:rPr>
      </w:pPr>
      <w:r w:rsidRPr="00FC42C8">
        <w:rPr>
          <w:rFonts w:ascii="Arial" w:hAnsi="Arial" w:cs="Arial"/>
          <w:bCs/>
          <w:noProof/>
          <w:spacing w:val="10"/>
          <w:sz w:val="24"/>
          <w:szCs w:val="20"/>
          <w:lang w:eastAsia="de-AT"/>
        </w:rPr>
        <w:lastRenderedPageBreak/>
        <w:drawing>
          <wp:inline distT="0" distB="0" distL="0" distR="0" wp14:anchorId="292758CC" wp14:editId="1C1E02B7">
            <wp:extent cx="5760720" cy="3238644"/>
            <wp:effectExtent l="19050" t="19050" r="1143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238644"/>
                    </a:xfrm>
                    <a:prstGeom prst="rect">
                      <a:avLst/>
                    </a:prstGeom>
                    <a:ln>
                      <a:solidFill>
                        <a:schemeClr val="bg1">
                          <a:lumMod val="85000"/>
                        </a:schemeClr>
                      </a:solidFill>
                    </a:ln>
                  </pic:spPr>
                </pic:pic>
              </a:graphicData>
            </a:graphic>
          </wp:inline>
        </w:drawing>
      </w:r>
    </w:p>
    <w:p w:rsidR="00F40CDB" w:rsidRPr="00F40CDB" w:rsidRDefault="00F40CDB" w:rsidP="0003725A">
      <w:pPr>
        <w:spacing w:line="360" w:lineRule="auto"/>
        <w:jc w:val="both"/>
        <w:rPr>
          <w:rFonts w:ascii="Arial" w:hAnsi="Arial" w:cs="Arial"/>
          <w:bCs/>
          <w:spacing w:val="10"/>
          <w:sz w:val="24"/>
          <w:szCs w:val="20"/>
          <w:lang w:val="de-DE"/>
        </w:rPr>
      </w:pPr>
    </w:p>
    <w:p w:rsidR="0029061D" w:rsidRPr="0029061D" w:rsidRDefault="004D0F54" w:rsidP="006A12E0">
      <w:pPr>
        <w:spacing w:line="360" w:lineRule="auto"/>
        <w:rPr>
          <w:rFonts w:ascii="Arial" w:hAnsi="Arial" w:cs="Arial"/>
          <w:bCs/>
          <w:spacing w:val="10"/>
          <w:sz w:val="24"/>
          <w:szCs w:val="20"/>
          <w:lang w:val="de-DE"/>
        </w:rPr>
      </w:pPr>
      <w:r w:rsidRPr="00F40CDB">
        <w:rPr>
          <w:rFonts w:ascii="Arial" w:hAnsi="Arial" w:cs="Arial"/>
          <w:bCs/>
          <w:spacing w:val="10"/>
          <w:sz w:val="24"/>
          <w:szCs w:val="20"/>
          <w:lang w:val="de-DE"/>
        </w:rPr>
        <w:t xml:space="preserve">Bezirksvergleich: </w:t>
      </w:r>
      <w:r w:rsidR="0029061D" w:rsidRPr="0029061D">
        <w:rPr>
          <w:rFonts w:ascii="Arial" w:hAnsi="Arial" w:cs="Arial"/>
          <w:bCs/>
          <w:spacing w:val="10"/>
          <w:sz w:val="24"/>
          <w:szCs w:val="20"/>
          <w:lang w:val="de-DE"/>
        </w:rPr>
        <w:t>Die Top 5 kaufkräftigsten Bezirke Österreichs bleiben ko</w:t>
      </w:r>
      <w:r w:rsidR="0029061D" w:rsidRPr="0029061D">
        <w:rPr>
          <w:rFonts w:ascii="Arial" w:hAnsi="Arial" w:cs="Arial"/>
          <w:bCs/>
          <w:spacing w:val="10"/>
          <w:sz w:val="24"/>
          <w:szCs w:val="20"/>
          <w:lang w:val="de-DE"/>
        </w:rPr>
        <w:t>n</w:t>
      </w:r>
      <w:r w:rsidR="0029061D" w:rsidRPr="0029061D">
        <w:rPr>
          <w:rFonts w:ascii="Arial" w:hAnsi="Arial" w:cs="Arial"/>
          <w:bCs/>
          <w:spacing w:val="10"/>
          <w:sz w:val="24"/>
          <w:szCs w:val="20"/>
          <w:lang w:val="de-DE"/>
        </w:rPr>
        <w:t>stant</w:t>
      </w:r>
    </w:p>
    <w:p w:rsidR="00092E73" w:rsidRPr="00241FB6" w:rsidRDefault="00092E73" w:rsidP="00092E73">
      <w:pPr>
        <w:spacing w:line="360" w:lineRule="auto"/>
        <w:jc w:val="both"/>
        <w:rPr>
          <w:rFonts w:ascii="Arial" w:eastAsia="Times New Roman" w:hAnsi="Arial" w:cs="Arial"/>
          <w:bCs/>
          <w:sz w:val="20"/>
          <w:szCs w:val="20"/>
          <w:lang w:val="de-DE" w:eastAsia="de-DE"/>
        </w:rPr>
      </w:pPr>
      <w:r w:rsidRPr="00241FB6">
        <w:rPr>
          <w:rFonts w:ascii="Arial" w:eastAsia="Times New Roman" w:hAnsi="Arial" w:cs="Arial"/>
          <w:bCs/>
          <w:sz w:val="20"/>
          <w:szCs w:val="20"/>
          <w:lang w:val="de-DE" w:eastAsia="de-DE"/>
        </w:rPr>
        <w:t xml:space="preserve">Auch in diesem Jahr können sich die fünf wohlhabendsten Bezirke Österreichs in derselben Rangfolge behaupten. Wien I behält trotz eines </w:t>
      </w:r>
      <w:r w:rsidR="009E432D">
        <w:rPr>
          <w:rFonts w:ascii="Arial" w:eastAsia="Times New Roman" w:hAnsi="Arial" w:cs="Arial"/>
          <w:bCs/>
          <w:sz w:val="20"/>
          <w:szCs w:val="20"/>
          <w:lang w:val="de-DE" w:eastAsia="de-DE"/>
        </w:rPr>
        <w:t xml:space="preserve">relativen </w:t>
      </w:r>
      <w:r w:rsidRPr="00241FB6">
        <w:rPr>
          <w:rFonts w:ascii="Arial" w:eastAsia="Times New Roman" w:hAnsi="Arial" w:cs="Arial"/>
          <w:bCs/>
          <w:sz w:val="20"/>
          <w:szCs w:val="20"/>
          <w:lang w:val="de-DE" w:eastAsia="de-DE"/>
        </w:rPr>
        <w:t xml:space="preserve">Rückgangs im Vergleich zum Vorjahr unangefochten den ersten Platz mit einer </w:t>
      </w:r>
      <w:r>
        <w:rPr>
          <w:rFonts w:ascii="Arial" w:eastAsia="Times New Roman" w:hAnsi="Arial" w:cs="Arial"/>
          <w:bCs/>
          <w:sz w:val="20"/>
          <w:szCs w:val="20"/>
          <w:lang w:val="de-DE" w:eastAsia="de-DE"/>
        </w:rPr>
        <w:t>nominellen</w:t>
      </w:r>
      <w:r w:rsidRPr="00241FB6">
        <w:rPr>
          <w:rFonts w:ascii="Arial" w:eastAsia="Times New Roman" w:hAnsi="Arial" w:cs="Arial"/>
          <w:bCs/>
          <w:sz w:val="20"/>
          <w:szCs w:val="20"/>
          <w:lang w:val="de-DE" w:eastAsia="de-DE"/>
        </w:rPr>
        <w:t xml:space="preserve"> Kaufkraft von </w:t>
      </w:r>
      <w:r w:rsidR="009E432D">
        <w:rPr>
          <w:rFonts w:ascii="Arial" w:eastAsia="Times New Roman" w:hAnsi="Arial" w:cs="Arial"/>
          <w:bCs/>
          <w:sz w:val="20"/>
          <w:szCs w:val="20"/>
          <w:lang w:val="de-DE" w:eastAsia="de-DE"/>
        </w:rPr>
        <w:t xml:space="preserve">durchschnittlich </w:t>
      </w:r>
      <w:r>
        <w:rPr>
          <w:rFonts w:ascii="Arial" w:eastAsia="Times New Roman" w:hAnsi="Arial" w:cs="Arial"/>
          <w:bCs/>
          <w:sz w:val="20"/>
          <w:szCs w:val="20"/>
          <w:lang w:val="de-DE" w:eastAsia="de-DE"/>
        </w:rPr>
        <w:t xml:space="preserve">€ </w:t>
      </w:r>
      <w:r w:rsidRPr="00241FB6">
        <w:rPr>
          <w:rFonts w:ascii="Arial" w:eastAsia="Times New Roman" w:hAnsi="Arial" w:cs="Arial"/>
          <w:bCs/>
          <w:sz w:val="20"/>
          <w:szCs w:val="20"/>
          <w:lang w:val="de-DE" w:eastAsia="de-DE"/>
        </w:rPr>
        <w:t>40.407</w:t>
      </w:r>
      <w:r w:rsidR="009E432D">
        <w:rPr>
          <w:rFonts w:ascii="Arial" w:eastAsia="Times New Roman" w:hAnsi="Arial" w:cs="Arial"/>
          <w:bCs/>
          <w:sz w:val="20"/>
          <w:szCs w:val="20"/>
          <w:lang w:val="de-DE" w:eastAsia="de-DE"/>
        </w:rPr>
        <w:t xml:space="preserve"> pro Einwohner und Jahr</w:t>
      </w:r>
      <w:r w:rsidRPr="00241FB6">
        <w:rPr>
          <w:rFonts w:ascii="Arial" w:eastAsia="Times New Roman" w:hAnsi="Arial" w:cs="Arial"/>
          <w:bCs/>
          <w:sz w:val="20"/>
          <w:szCs w:val="20"/>
          <w:lang w:val="de-DE" w:eastAsia="de-DE"/>
        </w:rPr>
        <w:t xml:space="preserve">. Wien </w:t>
      </w:r>
      <w:proofErr w:type="spellStart"/>
      <w:r w:rsidRPr="00241FB6">
        <w:rPr>
          <w:rFonts w:ascii="Arial" w:eastAsia="Times New Roman" w:hAnsi="Arial" w:cs="Arial"/>
          <w:bCs/>
          <w:sz w:val="20"/>
          <w:szCs w:val="20"/>
          <w:lang w:val="de-DE" w:eastAsia="de-DE"/>
        </w:rPr>
        <w:t>Hietzing</w:t>
      </w:r>
      <w:proofErr w:type="spellEnd"/>
      <w:r w:rsidRPr="00241FB6">
        <w:rPr>
          <w:rFonts w:ascii="Arial" w:eastAsia="Times New Roman" w:hAnsi="Arial" w:cs="Arial"/>
          <w:bCs/>
          <w:sz w:val="20"/>
          <w:szCs w:val="20"/>
          <w:lang w:val="de-DE" w:eastAsia="de-DE"/>
        </w:rPr>
        <w:t xml:space="preserve"> belegt den zweiten Platz mit einer Kaufkraft, die um </w:t>
      </w:r>
      <w:r>
        <w:rPr>
          <w:rFonts w:ascii="Arial" w:eastAsia="Times New Roman" w:hAnsi="Arial" w:cs="Arial"/>
          <w:bCs/>
          <w:sz w:val="20"/>
          <w:szCs w:val="20"/>
          <w:lang w:val="de-DE" w:eastAsia="de-DE"/>
        </w:rPr>
        <w:t>etwa</w:t>
      </w:r>
      <w:r w:rsidRPr="00241FB6">
        <w:rPr>
          <w:rFonts w:ascii="Arial" w:eastAsia="Times New Roman" w:hAnsi="Arial" w:cs="Arial"/>
          <w:bCs/>
          <w:sz w:val="20"/>
          <w:szCs w:val="20"/>
          <w:lang w:val="de-DE" w:eastAsia="de-DE"/>
        </w:rPr>
        <w:t xml:space="preserve"> </w:t>
      </w:r>
      <w:r>
        <w:rPr>
          <w:rFonts w:ascii="Arial" w:eastAsia="Times New Roman" w:hAnsi="Arial" w:cs="Arial"/>
          <w:bCs/>
          <w:sz w:val="20"/>
          <w:szCs w:val="20"/>
          <w:lang w:val="de-DE" w:eastAsia="de-DE"/>
        </w:rPr>
        <w:t xml:space="preserve">€ </w:t>
      </w:r>
      <w:r w:rsidRPr="00241FB6">
        <w:rPr>
          <w:rFonts w:ascii="Arial" w:eastAsia="Times New Roman" w:hAnsi="Arial" w:cs="Arial"/>
          <w:bCs/>
          <w:sz w:val="20"/>
          <w:szCs w:val="20"/>
          <w:lang w:val="de-DE" w:eastAsia="de-DE"/>
        </w:rPr>
        <w:t>8.500 niedriger ist</w:t>
      </w:r>
      <w:r w:rsidR="009E432D">
        <w:rPr>
          <w:rFonts w:ascii="Arial" w:eastAsia="Times New Roman" w:hAnsi="Arial" w:cs="Arial"/>
          <w:bCs/>
          <w:sz w:val="20"/>
          <w:szCs w:val="20"/>
          <w:lang w:val="de-DE" w:eastAsia="de-DE"/>
        </w:rPr>
        <w:t>.</w:t>
      </w:r>
      <w:r w:rsidRPr="00241FB6">
        <w:rPr>
          <w:rFonts w:ascii="Arial" w:eastAsia="Times New Roman" w:hAnsi="Arial" w:cs="Arial"/>
          <w:bCs/>
          <w:sz w:val="20"/>
          <w:szCs w:val="20"/>
          <w:lang w:val="de-DE" w:eastAsia="de-DE"/>
        </w:rPr>
        <w:t xml:space="preserve"> Die B</w:t>
      </w:r>
      <w:r w:rsidRPr="00241FB6">
        <w:rPr>
          <w:rFonts w:ascii="Arial" w:eastAsia="Times New Roman" w:hAnsi="Arial" w:cs="Arial"/>
          <w:bCs/>
          <w:sz w:val="20"/>
          <w:szCs w:val="20"/>
          <w:lang w:val="de-DE" w:eastAsia="de-DE"/>
        </w:rPr>
        <w:t>e</w:t>
      </w:r>
      <w:r w:rsidRPr="009E432D">
        <w:rPr>
          <w:rFonts w:ascii="Arial" w:eastAsia="Times New Roman" w:hAnsi="Arial" w:cs="Arial"/>
          <w:bCs/>
          <w:sz w:val="20"/>
          <w:szCs w:val="20"/>
          <w:lang w:val="de-DE" w:eastAsia="de-DE"/>
        </w:rPr>
        <w:t xml:space="preserve">zirke mit der höchsten Kaufkraft befinden sich hauptsächlich in Wien und Niederösterreich. </w:t>
      </w:r>
      <w:r w:rsidR="009E432D" w:rsidRPr="009E432D">
        <w:rPr>
          <w:rFonts w:ascii="Arial" w:eastAsia="Times New Roman" w:hAnsi="Arial" w:cs="Arial"/>
          <w:bCs/>
          <w:sz w:val="20"/>
          <w:szCs w:val="20"/>
          <w:lang w:val="de-DE" w:eastAsia="de-DE"/>
        </w:rPr>
        <w:t xml:space="preserve">Generell </w:t>
      </w:r>
      <w:r w:rsidRPr="009E432D">
        <w:rPr>
          <w:rFonts w:ascii="Arial" w:eastAsia="Times New Roman" w:hAnsi="Arial" w:cs="Arial"/>
          <w:bCs/>
          <w:sz w:val="20"/>
          <w:szCs w:val="20"/>
          <w:lang w:val="de-DE" w:eastAsia="de-DE"/>
        </w:rPr>
        <w:t xml:space="preserve"> verzeichnen </w:t>
      </w:r>
      <w:r w:rsidR="009E432D" w:rsidRPr="009E432D">
        <w:rPr>
          <w:rFonts w:ascii="Arial" w:eastAsia="Times New Roman" w:hAnsi="Arial" w:cs="Arial"/>
          <w:bCs/>
          <w:sz w:val="20"/>
          <w:szCs w:val="20"/>
          <w:lang w:val="de-DE" w:eastAsia="de-DE"/>
        </w:rPr>
        <w:t>alle</w:t>
      </w:r>
      <w:r w:rsidRPr="009E432D">
        <w:rPr>
          <w:rFonts w:ascii="Arial" w:eastAsia="Times New Roman" w:hAnsi="Arial" w:cs="Arial"/>
          <w:bCs/>
          <w:sz w:val="20"/>
          <w:szCs w:val="20"/>
          <w:lang w:val="de-DE" w:eastAsia="de-DE"/>
        </w:rPr>
        <w:t xml:space="preserve"> Bezirke Zuwächse bei der </w:t>
      </w:r>
      <w:r w:rsidR="009E432D" w:rsidRPr="009E432D">
        <w:rPr>
          <w:rFonts w:ascii="Arial" w:eastAsia="Times New Roman" w:hAnsi="Arial" w:cs="Arial"/>
          <w:bCs/>
          <w:sz w:val="20"/>
          <w:szCs w:val="20"/>
          <w:lang w:val="de-DE" w:eastAsia="de-DE"/>
        </w:rPr>
        <w:t xml:space="preserve">nominellen </w:t>
      </w:r>
      <w:r w:rsidRPr="009E432D">
        <w:rPr>
          <w:rFonts w:ascii="Arial" w:eastAsia="Times New Roman" w:hAnsi="Arial" w:cs="Arial"/>
          <w:bCs/>
          <w:sz w:val="20"/>
          <w:szCs w:val="20"/>
          <w:lang w:val="de-DE" w:eastAsia="de-DE"/>
        </w:rPr>
        <w:t>Kaufkraft.</w:t>
      </w:r>
    </w:p>
    <w:p w:rsidR="00092E73" w:rsidRPr="00241FB6" w:rsidRDefault="00092E73" w:rsidP="00092E73">
      <w:pPr>
        <w:spacing w:line="360" w:lineRule="auto"/>
        <w:jc w:val="both"/>
        <w:rPr>
          <w:rFonts w:ascii="Arial" w:eastAsia="Times New Roman" w:hAnsi="Arial" w:cs="Arial"/>
          <w:bCs/>
          <w:sz w:val="20"/>
          <w:szCs w:val="20"/>
          <w:lang w:val="de-DE" w:eastAsia="de-DE"/>
        </w:rPr>
      </w:pPr>
      <w:r w:rsidRPr="00241FB6">
        <w:rPr>
          <w:rFonts w:ascii="Arial" w:eastAsia="Times New Roman" w:hAnsi="Arial" w:cs="Arial"/>
          <w:bCs/>
          <w:sz w:val="20"/>
          <w:szCs w:val="20"/>
          <w:lang w:val="de-DE" w:eastAsia="de-DE"/>
        </w:rPr>
        <w:t xml:space="preserve">Besonders interessant ist die Sonderstellung Wiens, die Extreme in beide Richtungen aufweist. In der Hauptstadt sind sowohl die Bezirke mit der höchsten als auch die mit der niedrigsten Kaufkraft in ganz Österreich vertreten. Wien kann sich jedes Jahr mit jeweils drei Bezirken in den Top Fünf </w:t>
      </w:r>
      <w:r>
        <w:rPr>
          <w:rFonts w:ascii="Arial" w:eastAsia="Times New Roman" w:hAnsi="Arial" w:cs="Arial"/>
          <w:bCs/>
          <w:sz w:val="20"/>
          <w:szCs w:val="20"/>
          <w:lang w:val="de-DE" w:eastAsia="de-DE"/>
        </w:rPr>
        <w:t xml:space="preserve">in beide Richtungen </w:t>
      </w:r>
      <w:r w:rsidRPr="00241FB6">
        <w:rPr>
          <w:rFonts w:ascii="Arial" w:eastAsia="Times New Roman" w:hAnsi="Arial" w:cs="Arial"/>
          <w:bCs/>
          <w:sz w:val="20"/>
          <w:szCs w:val="20"/>
          <w:lang w:val="de-DE" w:eastAsia="de-DE"/>
        </w:rPr>
        <w:t>platzieren, in diesem Jahr sogar mit vier, und ist dennoch im Vergleich zu anderen Bu</w:t>
      </w:r>
      <w:r w:rsidRPr="00241FB6">
        <w:rPr>
          <w:rFonts w:ascii="Arial" w:eastAsia="Times New Roman" w:hAnsi="Arial" w:cs="Arial"/>
          <w:bCs/>
          <w:sz w:val="20"/>
          <w:szCs w:val="20"/>
          <w:lang w:val="de-DE" w:eastAsia="de-DE"/>
        </w:rPr>
        <w:t>n</w:t>
      </w:r>
      <w:r w:rsidRPr="00241FB6">
        <w:rPr>
          <w:rFonts w:ascii="Arial" w:eastAsia="Times New Roman" w:hAnsi="Arial" w:cs="Arial"/>
          <w:bCs/>
          <w:sz w:val="20"/>
          <w:szCs w:val="20"/>
          <w:lang w:val="de-DE" w:eastAsia="de-DE"/>
        </w:rPr>
        <w:t>desländern unterdurchschnittlich wohlhabend.</w:t>
      </w:r>
    </w:p>
    <w:p w:rsidR="00092E73" w:rsidRDefault="00092E73" w:rsidP="00092E73">
      <w:pPr>
        <w:spacing w:line="360" w:lineRule="auto"/>
        <w:jc w:val="both"/>
        <w:rPr>
          <w:rFonts w:ascii="Arial" w:eastAsia="Times New Roman" w:hAnsi="Arial" w:cs="Arial"/>
          <w:bCs/>
          <w:sz w:val="20"/>
          <w:szCs w:val="20"/>
          <w:lang w:val="de-DE" w:eastAsia="de-DE"/>
        </w:rPr>
      </w:pPr>
      <w:r w:rsidRPr="00241FB6">
        <w:rPr>
          <w:rFonts w:ascii="Arial" w:eastAsia="Times New Roman" w:hAnsi="Arial" w:cs="Arial"/>
          <w:bCs/>
          <w:sz w:val="20"/>
          <w:szCs w:val="20"/>
          <w:lang w:val="de-DE" w:eastAsia="de-DE"/>
        </w:rPr>
        <w:t xml:space="preserve">Bei den fünf Bezirken mit der geringsten Kaufkraft konnten sich </w:t>
      </w:r>
      <w:proofErr w:type="spellStart"/>
      <w:r w:rsidRPr="00241FB6">
        <w:rPr>
          <w:rFonts w:ascii="Arial" w:eastAsia="Times New Roman" w:hAnsi="Arial" w:cs="Arial"/>
          <w:bCs/>
          <w:sz w:val="20"/>
          <w:szCs w:val="20"/>
          <w:lang w:val="de-DE" w:eastAsia="de-DE"/>
        </w:rPr>
        <w:t>Hermagor</w:t>
      </w:r>
      <w:proofErr w:type="spellEnd"/>
      <w:r w:rsidRPr="00241FB6">
        <w:rPr>
          <w:rFonts w:ascii="Arial" w:eastAsia="Times New Roman" w:hAnsi="Arial" w:cs="Arial"/>
          <w:bCs/>
          <w:sz w:val="20"/>
          <w:szCs w:val="20"/>
          <w:lang w:val="de-DE" w:eastAsia="de-DE"/>
        </w:rPr>
        <w:t xml:space="preserve"> und Lienz in diesem Jahr </w:t>
      </w:r>
      <w:r w:rsidR="009E432D">
        <w:rPr>
          <w:rFonts w:ascii="Arial" w:eastAsia="Times New Roman" w:hAnsi="Arial" w:cs="Arial"/>
          <w:bCs/>
          <w:sz w:val="20"/>
          <w:szCs w:val="20"/>
          <w:lang w:val="de-DE" w:eastAsia="de-DE"/>
        </w:rPr>
        <w:t xml:space="preserve">relativ gesehen </w:t>
      </w:r>
      <w:r w:rsidRPr="00241FB6">
        <w:rPr>
          <w:rFonts w:ascii="Arial" w:eastAsia="Times New Roman" w:hAnsi="Arial" w:cs="Arial"/>
          <w:bCs/>
          <w:sz w:val="20"/>
          <w:szCs w:val="20"/>
          <w:lang w:val="de-DE" w:eastAsia="de-DE"/>
        </w:rPr>
        <w:t xml:space="preserve">erholen und an ihrer Stelle </w:t>
      </w:r>
      <w:proofErr w:type="spellStart"/>
      <w:r w:rsidRPr="00241FB6">
        <w:rPr>
          <w:rFonts w:ascii="Arial" w:eastAsia="Times New Roman" w:hAnsi="Arial" w:cs="Arial"/>
          <w:bCs/>
          <w:sz w:val="20"/>
          <w:szCs w:val="20"/>
          <w:lang w:val="de-DE" w:eastAsia="de-DE"/>
        </w:rPr>
        <w:t>Zwettl</w:t>
      </w:r>
      <w:proofErr w:type="spellEnd"/>
      <w:r w:rsidRPr="00241FB6">
        <w:rPr>
          <w:rFonts w:ascii="Arial" w:eastAsia="Times New Roman" w:hAnsi="Arial" w:cs="Arial"/>
          <w:bCs/>
          <w:sz w:val="20"/>
          <w:szCs w:val="20"/>
          <w:lang w:val="de-DE" w:eastAsia="de-DE"/>
        </w:rPr>
        <w:t xml:space="preserve"> und Wien XI platzieren. Die Schlusslichter bilden erneut Wiener Bezirke.</w:t>
      </w:r>
    </w:p>
    <w:p w:rsidR="006A12E0" w:rsidRDefault="006A12E0" w:rsidP="00092E73">
      <w:pPr>
        <w:spacing w:line="360" w:lineRule="auto"/>
        <w:jc w:val="both"/>
        <w:rPr>
          <w:rFonts w:ascii="Arial" w:eastAsia="Times New Roman" w:hAnsi="Arial" w:cs="Arial"/>
          <w:bCs/>
          <w:sz w:val="20"/>
          <w:szCs w:val="20"/>
          <w:lang w:val="de-DE" w:eastAsia="de-DE"/>
        </w:rPr>
      </w:pPr>
    </w:p>
    <w:p w:rsidR="007A073E" w:rsidRDefault="007A073E" w:rsidP="00092E73">
      <w:pPr>
        <w:spacing w:line="360" w:lineRule="auto"/>
        <w:jc w:val="both"/>
        <w:rPr>
          <w:rFonts w:ascii="Arial" w:eastAsia="Times New Roman" w:hAnsi="Arial" w:cs="Arial"/>
          <w:bCs/>
          <w:sz w:val="20"/>
          <w:szCs w:val="20"/>
          <w:lang w:val="de-DE" w:eastAsia="de-DE"/>
        </w:rPr>
      </w:pPr>
    </w:p>
    <w:p w:rsidR="007A073E" w:rsidRDefault="007A073E" w:rsidP="00092E73">
      <w:pPr>
        <w:spacing w:line="360" w:lineRule="auto"/>
        <w:jc w:val="both"/>
        <w:rPr>
          <w:rFonts w:ascii="Arial" w:eastAsia="Times New Roman" w:hAnsi="Arial" w:cs="Arial"/>
          <w:bCs/>
          <w:sz w:val="20"/>
          <w:szCs w:val="20"/>
          <w:lang w:val="de-DE" w:eastAsia="de-DE"/>
        </w:rPr>
      </w:pPr>
    </w:p>
    <w:p w:rsidR="007A073E" w:rsidRPr="00241FB6" w:rsidRDefault="007A073E" w:rsidP="00092E73">
      <w:pPr>
        <w:spacing w:line="360" w:lineRule="auto"/>
        <w:jc w:val="both"/>
        <w:rPr>
          <w:rFonts w:ascii="Arial" w:eastAsia="Times New Roman" w:hAnsi="Arial" w:cs="Arial"/>
          <w:bCs/>
          <w:sz w:val="20"/>
          <w:szCs w:val="20"/>
          <w:lang w:val="de-DE" w:eastAsia="de-DE"/>
        </w:rPr>
      </w:pPr>
    </w:p>
    <w:tbl>
      <w:tblPr>
        <w:tblpPr w:leftFromText="141" w:rightFromText="141" w:vertAnchor="text" w:tblpXSpec="center" w:tblpY="1"/>
        <w:tblOverlap w:val="never"/>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3028"/>
        <w:gridCol w:w="3010"/>
      </w:tblGrid>
      <w:tr w:rsidR="000A20A1" w:rsidRPr="00DE0A6C" w:rsidTr="007A073E">
        <w:trPr>
          <w:trHeight w:val="846"/>
        </w:trPr>
        <w:tc>
          <w:tcPr>
            <w:tcW w:w="3028" w:type="dxa"/>
            <w:tcBorders>
              <w:top w:val="nil"/>
              <w:bottom w:val="nil"/>
            </w:tcBorders>
            <w:shd w:val="clear" w:color="auto" w:fill="009ADB"/>
            <w:vAlign w:val="center"/>
            <w:hideMark/>
          </w:tcPr>
          <w:p w:rsidR="000A20A1" w:rsidRPr="000E455E" w:rsidRDefault="000A20A1" w:rsidP="007A073E">
            <w:pPr>
              <w:spacing w:after="0" w:line="240" w:lineRule="auto"/>
              <w:jc w:val="center"/>
              <w:rPr>
                <w:rFonts w:ascii="Arial" w:hAnsi="Arial" w:cs="Arial"/>
                <w:b/>
                <w:bCs/>
                <w:color w:val="FFFFFF" w:themeColor="background1"/>
                <w:sz w:val="20"/>
                <w:szCs w:val="18"/>
              </w:rPr>
            </w:pPr>
            <w:r w:rsidRPr="000E455E">
              <w:rPr>
                <w:rFonts w:ascii="Arial" w:hAnsi="Arial" w:cs="Arial"/>
                <w:b/>
                <w:bCs/>
                <w:color w:val="FFFFFF" w:themeColor="background1"/>
                <w:sz w:val="20"/>
                <w:szCs w:val="18"/>
              </w:rPr>
              <w:t>Bezirk</w:t>
            </w:r>
          </w:p>
        </w:tc>
        <w:tc>
          <w:tcPr>
            <w:tcW w:w="3010" w:type="dxa"/>
            <w:tcBorders>
              <w:top w:val="nil"/>
              <w:bottom w:val="nil"/>
            </w:tcBorders>
            <w:shd w:val="clear" w:color="auto" w:fill="009ADB"/>
            <w:vAlign w:val="center"/>
            <w:hideMark/>
          </w:tcPr>
          <w:p w:rsidR="000A20A1" w:rsidRPr="000E455E" w:rsidRDefault="000A20A1" w:rsidP="007A073E">
            <w:pPr>
              <w:spacing w:after="0" w:line="240" w:lineRule="auto"/>
              <w:jc w:val="center"/>
              <w:rPr>
                <w:rFonts w:ascii="Arial" w:hAnsi="Arial" w:cs="Arial"/>
                <w:b/>
                <w:bCs/>
                <w:color w:val="FFFFFF" w:themeColor="background1"/>
                <w:sz w:val="20"/>
                <w:szCs w:val="18"/>
              </w:rPr>
            </w:pPr>
            <w:r w:rsidRPr="000E455E">
              <w:rPr>
                <w:rFonts w:ascii="Arial" w:hAnsi="Arial" w:cs="Arial"/>
                <w:b/>
                <w:bCs/>
                <w:color w:val="FFFFFF" w:themeColor="background1"/>
                <w:sz w:val="20"/>
                <w:szCs w:val="18"/>
              </w:rPr>
              <w:t xml:space="preserve">Durchschnittliche </w:t>
            </w:r>
            <w:r w:rsidRPr="000E455E">
              <w:rPr>
                <w:rFonts w:ascii="Arial" w:hAnsi="Arial" w:cs="Arial"/>
                <w:b/>
                <w:bCs/>
                <w:color w:val="FFFFFF" w:themeColor="background1"/>
                <w:sz w:val="20"/>
                <w:szCs w:val="18"/>
              </w:rPr>
              <w:br/>
              <w:t xml:space="preserve">Kaufkraft pro Kopf </w:t>
            </w:r>
            <w:r w:rsidRPr="000E455E">
              <w:rPr>
                <w:rFonts w:ascii="Arial" w:hAnsi="Arial" w:cs="Arial"/>
                <w:b/>
                <w:bCs/>
                <w:color w:val="FFFFFF" w:themeColor="background1"/>
                <w:sz w:val="20"/>
                <w:szCs w:val="18"/>
              </w:rPr>
              <w:br/>
              <w:t>im Jahr in €</w:t>
            </w:r>
          </w:p>
        </w:tc>
      </w:tr>
      <w:tr w:rsidR="000A20A1" w:rsidRPr="00DE0A6C" w:rsidTr="007A073E">
        <w:trPr>
          <w:trHeight w:val="329"/>
        </w:trPr>
        <w:tc>
          <w:tcPr>
            <w:tcW w:w="6038" w:type="dxa"/>
            <w:gridSpan w:val="2"/>
            <w:tcBorders>
              <w:top w:val="nil"/>
              <w:bottom w:val="nil"/>
            </w:tcBorders>
            <w:shd w:val="clear" w:color="auto" w:fill="FFFFFF" w:themeFill="background1"/>
            <w:vAlign w:val="center"/>
          </w:tcPr>
          <w:p w:rsidR="000A20A1" w:rsidRPr="000A20A1" w:rsidRDefault="000A20A1" w:rsidP="007A073E">
            <w:pPr>
              <w:spacing w:line="240" w:lineRule="auto"/>
              <w:jc w:val="center"/>
              <w:rPr>
                <w:rFonts w:ascii="Arial" w:hAnsi="Arial" w:cs="Arial"/>
                <w:bCs/>
                <w:color w:val="009ADB"/>
                <w:sz w:val="2"/>
                <w:szCs w:val="18"/>
              </w:rPr>
            </w:pPr>
          </w:p>
          <w:p w:rsidR="000A20A1" w:rsidRPr="00DE0A6C" w:rsidRDefault="000A20A1" w:rsidP="007A073E">
            <w:pPr>
              <w:spacing w:line="240" w:lineRule="auto"/>
              <w:jc w:val="center"/>
              <w:rPr>
                <w:rFonts w:ascii="Arial" w:hAnsi="Arial" w:cs="Arial"/>
                <w:sz w:val="18"/>
                <w:szCs w:val="18"/>
              </w:rPr>
            </w:pPr>
            <w:r w:rsidRPr="000E455E">
              <w:rPr>
                <w:rFonts w:ascii="Arial" w:hAnsi="Arial" w:cs="Arial"/>
                <w:bCs/>
                <w:color w:val="009ADB"/>
                <w:sz w:val="20"/>
                <w:szCs w:val="18"/>
              </w:rPr>
              <w:t>Die 5 kaufkräftigsten Bezirke Österreichs</w:t>
            </w:r>
          </w:p>
        </w:tc>
      </w:tr>
      <w:tr w:rsidR="000A20A1" w:rsidRPr="00DE0A6C" w:rsidTr="007A073E">
        <w:trPr>
          <w:trHeight w:val="329"/>
        </w:trPr>
        <w:tc>
          <w:tcPr>
            <w:tcW w:w="3028" w:type="dxa"/>
            <w:tcBorders>
              <w:top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 Innere Stadt</w:t>
            </w:r>
          </w:p>
        </w:tc>
        <w:tc>
          <w:tcPr>
            <w:tcW w:w="3010" w:type="dxa"/>
            <w:tcBorders>
              <w:top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40.407</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13., </w:t>
            </w:r>
            <w:proofErr w:type="spellStart"/>
            <w:r w:rsidRPr="00DE0A6C">
              <w:rPr>
                <w:rFonts w:ascii="Arial" w:hAnsi="Arial" w:cs="Arial"/>
                <w:sz w:val="18"/>
                <w:szCs w:val="18"/>
              </w:rPr>
              <w:t>Hietzing</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31.886</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Mödling</w:t>
            </w:r>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31</w:t>
            </w:r>
            <w:r>
              <w:rPr>
                <w:rFonts w:ascii="Arial" w:hAnsi="Arial" w:cs="Arial"/>
                <w:sz w:val="18"/>
                <w:szCs w:val="18"/>
              </w:rPr>
              <w:t>.</w:t>
            </w:r>
            <w:r w:rsidRPr="00DE0A6C">
              <w:rPr>
                <w:rFonts w:ascii="Arial" w:hAnsi="Arial" w:cs="Arial"/>
                <w:sz w:val="18"/>
                <w:szCs w:val="18"/>
              </w:rPr>
              <w:t>474</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19., </w:t>
            </w:r>
            <w:proofErr w:type="spellStart"/>
            <w:r w:rsidRPr="00DE0A6C">
              <w:rPr>
                <w:rFonts w:ascii="Arial" w:hAnsi="Arial" w:cs="Arial"/>
                <w:sz w:val="18"/>
                <w:szCs w:val="18"/>
              </w:rPr>
              <w:t>Döbling</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30.633</w:t>
            </w:r>
          </w:p>
        </w:tc>
      </w:tr>
      <w:tr w:rsidR="000A20A1" w:rsidRPr="00DE0A6C" w:rsidTr="007A073E">
        <w:trPr>
          <w:trHeight w:val="329"/>
        </w:trPr>
        <w:tc>
          <w:tcPr>
            <w:tcW w:w="3028" w:type="dxa"/>
            <w:tcBorders>
              <w:bottom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Eisenstadt (Stadt)</w:t>
            </w:r>
          </w:p>
        </w:tc>
        <w:tc>
          <w:tcPr>
            <w:tcW w:w="3010" w:type="dxa"/>
            <w:tcBorders>
              <w:bottom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29.279</w:t>
            </w:r>
          </w:p>
        </w:tc>
      </w:tr>
      <w:tr w:rsidR="00922AAA" w:rsidRPr="00922AAA" w:rsidTr="007A073E">
        <w:trPr>
          <w:trHeight w:val="329"/>
        </w:trPr>
        <w:tc>
          <w:tcPr>
            <w:tcW w:w="6038" w:type="dxa"/>
            <w:gridSpan w:val="2"/>
            <w:tcBorders>
              <w:top w:val="nil"/>
              <w:bottom w:val="nil"/>
            </w:tcBorders>
            <w:shd w:val="clear" w:color="auto" w:fill="FFFFFF" w:themeFill="background1"/>
            <w:vAlign w:val="center"/>
          </w:tcPr>
          <w:p w:rsidR="00922AAA" w:rsidRPr="00922AAA" w:rsidRDefault="00922AAA" w:rsidP="007A073E">
            <w:pPr>
              <w:spacing w:line="240" w:lineRule="auto"/>
              <w:jc w:val="center"/>
              <w:rPr>
                <w:rFonts w:ascii="Arial" w:hAnsi="Arial" w:cs="Arial"/>
                <w:bCs/>
                <w:color w:val="009ADB"/>
                <w:sz w:val="2"/>
                <w:szCs w:val="18"/>
              </w:rPr>
            </w:pPr>
          </w:p>
          <w:p w:rsidR="00922AAA" w:rsidRPr="00922AAA" w:rsidRDefault="00922AAA" w:rsidP="007A073E">
            <w:pPr>
              <w:spacing w:line="240" w:lineRule="auto"/>
              <w:jc w:val="center"/>
              <w:rPr>
                <w:rFonts w:ascii="Arial" w:hAnsi="Arial" w:cs="Arial"/>
                <w:bCs/>
                <w:color w:val="009ADB"/>
                <w:sz w:val="20"/>
                <w:szCs w:val="18"/>
              </w:rPr>
            </w:pPr>
            <w:r w:rsidRPr="00922AAA">
              <w:rPr>
                <w:rFonts w:ascii="Arial" w:hAnsi="Arial" w:cs="Arial"/>
                <w:bCs/>
                <w:color w:val="009ADB"/>
                <w:sz w:val="20"/>
                <w:szCs w:val="18"/>
              </w:rPr>
              <w:t xml:space="preserve">Die 5 </w:t>
            </w:r>
            <w:r>
              <w:rPr>
                <w:rFonts w:ascii="Arial" w:hAnsi="Arial" w:cs="Arial"/>
                <w:bCs/>
                <w:color w:val="009ADB"/>
                <w:sz w:val="20"/>
                <w:szCs w:val="18"/>
              </w:rPr>
              <w:t>kaufkraftschwächsten</w:t>
            </w:r>
            <w:r w:rsidRPr="00922AAA">
              <w:rPr>
                <w:rFonts w:ascii="Arial" w:hAnsi="Arial" w:cs="Arial"/>
                <w:bCs/>
                <w:color w:val="009ADB"/>
                <w:sz w:val="20"/>
                <w:szCs w:val="18"/>
              </w:rPr>
              <w:t xml:space="preserve"> Bezirke Österreichs</w:t>
            </w:r>
          </w:p>
        </w:tc>
      </w:tr>
      <w:tr w:rsidR="000A20A1" w:rsidRPr="00DE0A6C" w:rsidTr="007A073E">
        <w:trPr>
          <w:trHeight w:val="329"/>
        </w:trPr>
        <w:tc>
          <w:tcPr>
            <w:tcW w:w="3028" w:type="dxa"/>
            <w:tcBorders>
              <w:top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proofErr w:type="spellStart"/>
            <w:r w:rsidRPr="00DE0A6C">
              <w:rPr>
                <w:rFonts w:ascii="Arial" w:hAnsi="Arial" w:cs="Arial"/>
                <w:sz w:val="18"/>
                <w:szCs w:val="18"/>
              </w:rPr>
              <w:t>Zwettl</w:t>
            </w:r>
            <w:proofErr w:type="spellEnd"/>
          </w:p>
        </w:tc>
        <w:tc>
          <w:tcPr>
            <w:tcW w:w="3010" w:type="dxa"/>
            <w:tcBorders>
              <w:top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21.967</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11., Simmering</w:t>
            </w:r>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21.765</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10., Favoriten</w:t>
            </w:r>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20.610</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15., </w:t>
            </w:r>
            <w:proofErr w:type="spellStart"/>
            <w:r w:rsidRPr="00DE0A6C">
              <w:rPr>
                <w:rFonts w:ascii="Arial" w:hAnsi="Arial" w:cs="Arial"/>
                <w:sz w:val="18"/>
                <w:szCs w:val="18"/>
              </w:rPr>
              <w:t>Rudolfsheim-Fünfhaus</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20.134</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20., </w:t>
            </w:r>
            <w:proofErr w:type="spellStart"/>
            <w:r w:rsidRPr="00DE0A6C">
              <w:rPr>
                <w:rFonts w:ascii="Arial" w:hAnsi="Arial" w:cs="Arial"/>
                <w:sz w:val="18"/>
                <w:szCs w:val="18"/>
              </w:rPr>
              <w:t>Brigittenau</w:t>
            </w:r>
            <w:proofErr w:type="spellEnd"/>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19.867</w:t>
            </w:r>
          </w:p>
        </w:tc>
      </w:tr>
    </w:tbl>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4D0F54" w:rsidRDefault="004D0F54"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012EC2" w:rsidRDefault="00012EC2" w:rsidP="00241FB6">
      <w:pPr>
        <w:rPr>
          <w:rFonts w:ascii="Arial" w:hAnsi="Arial" w:cs="Arial"/>
          <w:i/>
          <w:sz w:val="20"/>
          <w:szCs w:val="20"/>
          <w:lang w:val="de-DE"/>
        </w:rPr>
      </w:pPr>
    </w:p>
    <w:p w:rsidR="00D9409D" w:rsidRPr="0029061D" w:rsidRDefault="00D9409D" w:rsidP="006A12E0">
      <w:pPr>
        <w:spacing w:line="360" w:lineRule="auto"/>
        <w:rPr>
          <w:rFonts w:ascii="Arial" w:hAnsi="Arial" w:cs="Arial"/>
          <w:bCs/>
          <w:spacing w:val="10"/>
          <w:sz w:val="24"/>
          <w:szCs w:val="20"/>
          <w:lang w:val="de-DE"/>
        </w:rPr>
      </w:pPr>
      <w:r>
        <w:rPr>
          <w:rFonts w:ascii="Arial" w:hAnsi="Arial" w:cs="Arial"/>
          <w:bCs/>
          <w:spacing w:val="10"/>
          <w:sz w:val="24"/>
          <w:szCs w:val="20"/>
          <w:lang w:val="de-DE"/>
        </w:rPr>
        <w:t>Ausblick</w:t>
      </w:r>
      <w:r w:rsidRPr="00F40CDB">
        <w:rPr>
          <w:rFonts w:ascii="Arial" w:hAnsi="Arial" w:cs="Arial"/>
          <w:bCs/>
          <w:spacing w:val="10"/>
          <w:sz w:val="24"/>
          <w:szCs w:val="20"/>
          <w:lang w:val="de-DE"/>
        </w:rPr>
        <w:t xml:space="preserve"> </w:t>
      </w:r>
    </w:p>
    <w:p w:rsidR="00012EC2" w:rsidRDefault="00D9409D" w:rsidP="00A153FC">
      <w:pPr>
        <w:spacing w:line="360" w:lineRule="auto"/>
        <w:jc w:val="both"/>
        <w:rPr>
          <w:rFonts w:ascii="Arial" w:hAnsi="Arial" w:cs="Arial"/>
          <w:i/>
          <w:sz w:val="20"/>
          <w:szCs w:val="20"/>
          <w:lang w:val="de-DE"/>
        </w:rPr>
      </w:pPr>
      <w:r>
        <w:rPr>
          <w:rFonts w:ascii="Arial" w:eastAsia="Times New Roman" w:hAnsi="Arial" w:cs="Arial"/>
          <w:bCs/>
          <w:sz w:val="20"/>
          <w:szCs w:val="20"/>
          <w:lang w:val="de-DE" w:eastAsia="de-DE"/>
        </w:rPr>
        <w:t xml:space="preserve">Allmählich sinkende Inflationsraten bei gleichzeitig höheren Lohnabschlüssen, die sich ja bekanntlich meist an der Inflationsrate des Vorjahres orientieren, lassen leichte Zuwächse erwarten, wobei </w:t>
      </w:r>
      <w:r w:rsidR="00E22D0D">
        <w:rPr>
          <w:rFonts w:ascii="Arial" w:eastAsia="Times New Roman" w:hAnsi="Arial" w:cs="Arial"/>
          <w:bCs/>
          <w:sz w:val="20"/>
          <w:szCs w:val="20"/>
          <w:lang w:val="de-DE" w:eastAsia="de-DE"/>
        </w:rPr>
        <w:t xml:space="preserve">sich </w:t>
      </w:r>
      <w:r>
        <w:rPr>
          <w:rFonts w:ascii="Arial" w:eastAsia="Times New Roman" w:hAnsi="Arial" w:cs="Arial"/>
          <w:bCs/>
          <w:sz w:val="20"/>
          <w:szCs w:val="20"/>
          <w:lang w:val="de-DE" w:eastAsia="de-DE"/>
        </w:rPr>
        <w:t>hinsichtlich der Zusammensetzung der gesamten Kaufkraft die Einkünfte aus Kapitalvermögen (durch die steigenden Zinsen) und aus der Landwirtschaft (durch die höheren Erzeugerpreise) leicht verä</w:t>
      </w:r>
      <w:r>
        <w:rPr>
          <w:rFonts w:ascii="Arial" w:eastAsia="Times New Roman" w:hAnsi="Arial" w:cs="Arial"/>
          <w:bCs/>
          <w:sz w:val="20"/>
          <w:szCs w:val="20"/>
          <w:lang w:val="de-DE" w:eastAsia="de-DE"/>
        </w:rPr>
        <w:t>n</w:t>
      </w:r>
      <w:r>
        <w:rPr>
          <w:rFonts w:ascii="Arial" w:eastAsia="Times New Roman" w:hAnsi="Arial" w:cs="Arial"/>
          <w:bCs/>
          <w:sz w:val="20"/>
          <w:szCs w:val="20"/>
          <w:lang w:val="de-DE" w:eastAsia="de-DE"/>
        </w:rPr>
        <w:t xml:space="preserve">dern </w:t>
      </w:r>
      <w:r w:rsidR="00E22D0D">
        <w:rPr>
          <w:rFonts w:ascii="Arial" w:eastAsia="Times New Roman" w:hAnsi="Arial" w:cs="Arial"/>
          <w:bCs/>
          <w:sz w:val="20"/>
          <w:szCs w:val="20"/>
          <w:lang w:val="de-DE" w:eastAsia="de-DE"/>
        </w:rPr>
        <w:t>werden</w:t>
      </w:r>
      <w:r>
        <w:rPr>
          <w:rFonts w:ascii="Arial" w:eastAsia="Times New Roman" w:hAnsi="Arial" w:cs="Arial"/>
          <w:bCs/>
          <w:sz w:val="20"/>
          <w:szCs w:val="20"/>
          <w:lang w:val="de-DE" w:eastAsia="de-DE"/>
        </w:rPr>
        <w:t>.</w:t>
      </w:r>
      <w:r w:rsidR="00A153FC">
        <w:rPr>
          <w:rFonts w:ascii="Arial" w:eastAsia="Times New Roman" w:hAnsi="Arial" w:cs="Arial"/>
          <w:bCs/>
          <w:sz w:val="20"/>
          <w:szCs w:val="20"/>
          <w:lang w:val="de-DE" w:eastAsia="de-DE"/>
        </w:rPr>
        <w:t xml:space="preserve"> </w:t>
      </w:r>
      <w:r w:rsidR="00550938">
        <w:rPr>
          <w:rFonts w:ascii="Arial" w:eastAsia="Times New Roman" w:hAnsi="Arial" w:cs="Arial"/>
          <w:bCs/>
          <w:sz w:val="20"/>
          <w:szCs w:val="20"/>
          <w:lang w:val="de-DE" w:eastAsia="de-DE"/>
        </w:rPr>
        <w:t>Summa summarum sind für</w:t>
      </w:r>
      <w:r w:rsidR="00A153FC" w:rsidRPr="00A153FC">
        <w:rPr>
          <w:rFonts w:ascii="Arial" w:eastAsia="Times New Roman" w:hAnsi="Arial" w:cs="Arial"/>
          <w:bCs/>
          <w:sz w:val="20"/>
          <w:szCs w:val="20"/>
          <w:lang w:val="de-DE" w:eastAsia="de-DE"/>
        </w:rPr>
        <w:t xml:space="preserve"> 2023 und 2024 </w:t>
      </w:r>
      <w:r w:rsidR="00A153FC">
        <w:rPr>
          <w:rFonts w:ascii="Arial" w:eastAsia="Times New Roman" w:hAnsi="Arial" w:cs="Arial"/>
          <w:bCs/>
          <w:sz w:val="20"/>
          <w:szCs w:val="20"/>
          <w:lang w:val="de-DE" w:eastAsia="de-DE"/>
        </w:rPr>
        <w:t xml:space="preserve">daher </w:t>
      </w:r>
      <w:r w:rsidR="00A153FC" w:rsidRPr="00A153FC">
        <w:rPr>
          <w:rFonts w:ascii="Arial" w:eastAsia="Times New Roman" w:hAnsi="Arial" w:cs="Arial"/>
          <w:bCs/>
          <w:sz w:val="20"/>
          <w:szCs w:val="20"/>
          <w:lang w:val="de-DE" w:eastAsia="de-DE"/>
        </w:rPr>
        <w:t xml:space="preserve">nicht nur nominelle, sondern auch reale Kaufkraftzuwächse </w:t>
      </w:r>
      <w:r w:rsidR="00A153FC">
        <w:rPr>
          <w:rFonts w:ascii="Arial" w:eastAsia="Times New Roman" w:hAnsi="Arial" w:cs="Arial"/>
          <w:bCs/>
          <w:sz w:val="20"/>
          <w:szCs w:val="20"/>
          <w:lang w:val="de-DE" w:eastAsia="de-DE"/>
        </w:rPr>
        <w:t>durchaus realistisch.</w:t>
      </w:r>
    </w:p>
    <w:p w:rsidR="006A12E0" w:rsidRDefault="006A12E0" w:rsidP="00E22D0D">
      <w:pPr>
        <w:rPr>
          <w:rFonts w:ascii="Arial" w:hAnsi="Arial" w:cs="Arial"/>
          <w:i/>
          <w:sz w:val="20"/>
          <w:szCs w:val="20"/>
          <w:lang w:val="de-DE"/>
        </w:rPr>
      </w:pPr>
    </w:p>
    <w:p w:rsidR="006A12E0" w:rsidRDefault="006A12E0" w:rsidP="001F4744">
      <w:pPr>
        <w:jc w:val="center"/>
        <w:rPr>
          <w:rFonts w:ascii="Arial" w:hAnsi="Arial" w:cs="Arial"/>
          <w:i/>
          <w:sz w:val="20"/>
          <w:szCs w:val="20"/>
          <w:lang w:val="de-DE"/>
        </w:rPr>
      </w:pPr>
    </w:p>
    <w:p w:rsidR="006A12E0" w:rsidRDefault="006A12E0" w:rsidP="001F4744">
      <w:pPr>
        <w:jc w:val="center"/>
        <w:rPr>
          <w:rFonts w:ascii="Arial" w:hAnsi="Arial" w:cs="Arial"/>
          <w:i/>
          <w:sz w:val="20"/>
          <w:szCs w:val="20"/>
          <w:lang w:val="de-DE"/>
        </w:rPr>
      </w:pPr>
    </w:p>
    <w:p w:rsidR="00963520" w:rsidRDefault="00963520" w:rsidP="001F4744">
      <w:pPr>
        <w:jc w:val="center"/>
        <w:rPr>
          <w:rFonts w:ascii="Arial" w:hAnsi="Arial" w:cs="Arial"/>
          <w:i/>
          <w:sz w:val="20"/>
          <w:szCs w:val="20"/>
          <w:lang w:val="de-DE"/>
        </w:rPr>
      </w:pPr>
    </w:p>
    <w:p w:rsidR="00A8581D" w:rsidRPr="00F16748" w:rsidRDefault="00A8581D" w:rsidP="001F4744">
      <w:pPr>
        <w:jc w:val="center"/>
        <w:rPr>
          <w:rFonts w:ascii="Arial" w:hAnsi="Arial" w:cs="Arial"/>
          <w:i/>
          <w:sz w:val="20"/>
          <w:szCs w:val="20"/>
          <w:lang w:val="de-DE"/>
        </w:rPr>
      </w:pPr>
    </w:p>
    <w:p w:rsidR="001F4744" w:rsidRPr="00AD52CE" w:rsidRDefault="00AD52CE" w:rsidP="00AD52CE">
      <w:pPr>
        <w:spacing w:line="240" w:lineRule="auto"/>
        <w:jc w:val="center"/>
        <w:rPr>
          <w:sz w:val="20"/>
        </w:rPr>
      </w:pPr>
      <w:r>
        <w:rPr>
          <w:rFonts w:ascii="Arial" w:hAnsi="Arial" w:cs="Arial"/>
          <w:i/>
          <w:sz w:val="20"/>
          <w:szCs w:val="20"/>
          <w:lang w:val="de-DE"/>
        </w:rPr>
        <w:t>Die Studie</w:t>
      </w:r>
      <w:r w:rsidR="001F4744" w:rsidRPr="00F16748">
        <w:rPr>
          <w:rFonts w:ascii="Arial" w:hAnsi="Arial" w:cs="Arial"/>
          <w:i/>
          <w:sz w:val="20"/>
          <w:szCs w:val="20"/>
          <w:lang w:val="de-DE"/>
        </w:rPr>
        <w:t xml:space="preserve"> </w:t>
      </w:r>
      <w:r w:rsidR="001F4744" w:rsidRPr="00F16748">
        <w:rPr>
          <w:rFonts w:ascii="Arial" w:hAnsi="Arial" w:cs="Arial"/>
          <w:b/>
          <w:i/>
          <w:sz w:val="20"/>
          <w:szCs w:val="20"/>
          <w:lang w:val="de-DE"/>
        </w:rPr>
        <w:t>„</w:t>
      </w:r>
      <w:r w:rsidR="00491EDA">
        <w:rPr>
          <w:rFonts w:ascii="Arial" w:hAnsi="Arial" w:cs="Arial"/>
          <w:b/>
          <w:i/>
          <w:sz w:val="20"/>
          <w:szCs w:val="20"/>
          <w:lang w:val="de-DE"/>
        </w:rPr>
        <w:t>Kaufkraft</w:t>
      </w:r>
      <w:r w:rsidR="0066676F">
        <w:rPr>
          <w:rFonts w:ascii="Arial" w:hAnsi="Arial" w:cs="Arial"/>
          <w:b/>
          <w:i/>
          <w:sz w:val="20"/>
          <w:szCs w:val="20"/>
          <w:lang w:val="de-DE"/>
        </w:rPr>
        <w:t xml:space="preserve"> Österreich</w:t>
      </w:r>
      <w:r w:rsidR="00241FB6">
        <w:rPr>
          <w:rFonts w:ascii="Arial" w:hAnsi="Arial" w:cs="Arial"/>
          <w:b/>
          <w:i/>
          <w:sz w:val="20"/>
          <w:szCs w:val="20"/>
          <w:lang w:val="de-DE"/>
        </w:rPr>
        <w:t xml:space="preserve"> </w:t>
      </w:r>
      <w:r w:rsidR="001F4744" w:rsidRPr="00F16748">
        <w:rPr>
          <w:rFonts w:ascii="Arial" w:hAnsi="Arial" w:cs="Arial"/>
          <w:b/>
          <w:i/>
          <w:sz w:val="20"/>
          <w:szCs w:val="20"/>
          <w:lang w:val="de-DE"/>
        </w:rPr>
        <w:t>– Ausgabe 202</w:t>
      </w:r>
      <w:r w:rsidR="001F4744">
        <w:rPr>
          <w:rFonts w:ascii="Arial" w:hAnsi="Arial" w:cs="Arial"/>
          <w:b/>
          <w:i/>
          <w:sz w:val="20"/>
          <w:szCs w:val="20"/>
          <w:lang w:val="de-DE"/>
        </w:rPr>
        <w:t>3</w:t>
      </w:r>
      <w:r>
        <w:rPr>
          <w:rFonts w:ascii="Arial" w:hAnsi="Arial" w:cs="Arial"/>
          <w:b/>
          <w:i/>
          <w:sz w:val="20"/>
          <w:szCs w:val="20"/>
          <w:lang w:val="de-DE"/>
        </w:rPr>
        <w:t xml:space="preserve">“ </w:t>
      </w:r>
      <w:r w:rsidRPr="00AD52CE">
        <w:rPr>
          <w:rFonts w:ascii="Arial" w:hAnsi="Arial" w:cs="Arial"/>
          <w:i/>
          <w:sz w:val="20"/>
          <w:szCs w:val="20"/>
          <w:lang w:val="de-DE"/>
        </w:rPr>
        <w:t>ist a</w:t>
      </w:r>
      <w:proofErr w:type="spellStart"/>
      <w:r w:rsidRPr="00AD52CE">
        <w:rPr>
          <w:rFonts w:ascii="Arial" w:hAnsi="Arial" w:cs="Arial"/>
          <w:i/>
          <w:sz w:val="20"/>
          <w:szCs w:val="20"/>
        </w:rPr>
        <w:t>ktuell</w:t>
      </w:r>
      <w:proofErr w:type="spellEnd"/>
      <w:r w:rsidRPr="00AD52CE">
        <w:rPr>
          <w:rFonts w:ascii="Arial" w:hAnsi="Arial" w:cs="Arial"/>
          <w:i/>
          <w:sz w:val="20"/>
          <w:szCs w:val="20"/>
        </w:rPr>
        <w:t xml:space="preserve"> </w:t>
      </w:r>
      <w:r w:rsidR="00550938">
        <w:rPr>
          <w:rFonts w:ascii="Arial" w:hAnsi="Arial" w:cs="Arial"/>
          <w:i/>
          <w:sz w:val="20"/>
          <w:szCs w:val="20"/>
        </w:rPr>
        <w:t>ab</w:t>
      </w:r>
      <w:r w:rsidRPr="00A153FC">
        <w:rPr>
          <w:rFonts w:ascii="Arial" w:hAnsi="Arial" w:cs="Arial"/>
          <w:i/>
          <w:sz w:val="20"/>
          <w:szCs w:val="20"/>
        </w:rPr>
        <w:t xml:space="preserve"> € </w:t>
      </w:r>
      <w:r w:rsidR="00A153FC" w:rsidRPr="00A153FC">
        <w:rPr>
          <w:rFonts w:ascii="Arial" w:hAnsi="Arial" w:cs="Arial"/>
          <w:i/>
          <w:sz w:val="20"/>
          <w:szCs w:val="20"/>
        </w:rPr>
        <w:t>800</w:t>
      </w:r>
      <w:r w:rsidRPr="00A153FC">
        <w:rPr>
          <w:rFonts w:ascii="Arial" w:hAnsi="Arial" w:cs="Arial"/>
          <w:i/>
          <w:sz w:val="20"/>
          <w:szCs w:val="20"/>
        </w:rPr>
        <w:t>,- (zzgl. 20</w:t>
      </w:r>
      <w:r w:rsidRPr="00AD52CE">
        <w:rPr>
          <w:rFonts w:ascii="Arial" w:hAnsi="Arial" w:cs="Arial"/>
          <w:i/>
          <w:sz w:val="20"/>
          <w:szCs w:val="20"/>
        </w:rPr>
        <w:t>% MwSt.) bei R</w:t>
      </w:r>
      <w:r w:rsidRPr="00AD52CE">
        <w:rPr>
          <w:rFonts w:ascii="Arial" w:hAnsi="Arial" w:cs="Arial"/>
          <w:i/>
          <w:sz w:val="20"/>
          <w:szCs w:val="20"/>
        </w:rPr>
        <w:t>e</w:t>
      </w:r>
      <w:r w:rsidRPr="00AD52CE">
        <w:rPr>
          <w:rFonts w:ascii="Arial" w:hAnsi="Arial" w:cs="Arial"/>
          <w:i/>
          <w:sz w:val="20"/>
          <w:szCs w:val="20"/>
        </w:rPr>
        <w:t>gioData erhältlich. Nähere Informationen unter www.regiodata.eu</w:t>
      </w:r>
    </w:p>
    <w:p w:rsidR="00AD52CE" w:rsidRPr="003D1F9F" w:rsidRDefault="001F4744" w:rsidP="00F35516">
      <w:pPr>
        <w:spacing w:line="240" w:lineRule="auto"/>
        <w:jc w:val="center"/>
        <w:rPr>
          <w:rFonts w:cs="Tahoma"/>
          <w:sz w:val="20"/>
          <w:lang w:eastAsia="de-DE"/>
        </w:rPr>
      </w:pPr>
      <w:r w:rsidRPr="00F16748">
        <w:rPr>
          <w:rFonts w:ascii="Arial" w:hAnsi="Arial" w:cs="Arial"/>
          <w:i/>
          <w:sz w:val="20"/>
          <w:szCs w:val="20"/>
        </w:rPr>
        <w:t xml:space="preserve">Die </w:t>
      </w:r>
      <w:r w:rsidRPr="00F16748">
        <w:rPr>
          <w:rFonts w:ascii="Arial" w:hAnsi="Arial" w:cs="Arial"/>
          <w:b/>
          <w:bCs/>
          <w:i/>
          <w:sz w:val="20"/>
          <w:szCs w:val="20"/>
        </w:rPr>
        <w:t>RegioData Research GmbH</w:t>
      </w:r>
      <w:r w:rsidRPr="00F16748">
        <w:rPr>
          <w:rFonts w:ascii="Arial" w:hAnsi="Arial" w:cs="Arial"/>
          <w:i/>
          <w:sz w:val="20"/>
          <w:szCs w:val="20"/>
        </w:rPr>
        <w:t xml:space="preserve"> mit Sitz in Wien und München ist Spezialist bei regionalen Wir</w:t>
      </w:r>
      <w:r w:rsidRPr="00F16748">
        <w:rPr>
          <w:rFonts w:ascii="Arial" w:hAnsi="Arial" w:cs="Arial"/>
          <w:i/>
          <w:sz w:val="20"/>
          <w:szCs w:val="20"/>
        </w:rPr>
        <w:t>t</w:t>
      </w:r>
      <w:r w:rsidRPr="00F16748">
        <w:rPr>
          <w:rFonts w:ascii="Arial" w:hAnsi="Arial" w:cs="Arial"/>
          <w:i/>
          <w:sz w:val="20"/>
          <w:szCs w:val="20"/>
        </w:rPr>
        <w:t>schaftsdaten in Europa. Wir liefern Entscheidungsgrundlagen für Handel, Real Estate und Finanzi</w:t>
      </w:r>
      <w:r w:rsidRPr="00F16748">
        <w:rPr>
          <w:rFonts w:ascii="Arial" w:hAnsi="Arial" w:cs="Arial"/>
          <w:i/>
          <w:sz w:val="20"/>
          <w:szCs w:val="20"/>
        </w:rPr>
        <w:t>e</w:t>
      </w:r>
      <w:r w:rsidRPr="00F16748">
        <w:rPr>
          <w:rFonts w:ascii="Arial" w:hAnsi="Arial" w:cs="Arial"/>
          <w:i/>
          <w:sz w:val="20"/>
          <w:szCs w:val="20"/>
        </w:rPr>
        <w:t>rung. Aktuell, klar und sicher.</w:t>
      </w:r>
    </w:p>
    <w:sectPr w:rsidR="00AD52CE" w:rsidRPr="003D1F9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D9" w:rsidRDefault="002775D9" w:rsidP="0003725A">
      <w:pPr>
        <w:spacing w:after="0" w:line="240" w:lineRule="auto"/>
      </w:pPr>
      <w:r>
        <w:separator/>
      </w:r>
    </w:p>
  </w:endnote>
  <w:endnote w:type="continuationSeparator" w:id="0">
    <w:p w:rsidR="002775D9" w:rsidRDefault="002775D9" w:rsidP="0003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D9" w:rsidRDefault="002775D9" w:rsidP="0003725A">
      <w:pPr>
        <w:spacing w:after="0" w:line="240" w:lineRule="auto"/>
      </w:pPr>
      <w:r>
        <w:separator/>
      </w:r>
    </w:p>
  </w:footnote>
  <w:footnote w:type="continuationSeparator" w:id="0">
    <w:p w:rsidR="002775D9" w:rsidRDefault="002775D9" w:rsidP="0003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F0" w:rsidRDefault="00CA29F0" w:rsidP="0003725A">
    <w:pPr>
      <w:pStyle w:val="Kopfzeile"/>
      <w:tabs>
        <w:tab w:val="left" w:pos="6960"/>
      </w:tabs>
    </w:pPr>
    <w:r w:rsidRPr="00492D78">
      <w:rPr>
        <w:noProof/>
        <w:color w:val="525556"/>
        <w:lang w:eastAsia="de-AT"/>
      </w:rPr>
      <mc:AlternateContent>
        <mc:Choice Requires="wps">
          <w:drawing>
            <wp:anchor distT="0" distB="0" distL="114300" distR="114300" simplePos="0" relativeHeight="251661312" behindDoc="0" locked="0" layoutInCell="1" allowOverlap="1" wp14:anchorId="3576CD19" wp14:editId="29A70842">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07F48D18" wp14:editId="4BD57F46">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9F0" w:rsidRPr="00BB17FA" w:rsidRDefault="00CA29F0" w:rsidP="0003725A">
                          <w:pPr>
                            <w:rPr>
                              <w:rFonts w:ascii="Arial" w:hAnsi="Arial" w:cs="Arial"/>
                              <w:color w:val="525556"/>
                              <w:spacing w:val="60"/>
                              <w:sz w:val="24"/>
                            </w:rPr>
                          </w:pPr>
                          <w:r w:rsidRPr="00BB17FA">
                            <w:rPr>
                              <w:rFonts w:ascii="Arial" w:hAnsi="Arial" w:cs="Arial"/>
                              <w:color w:val="525556"/>
                              <w:spacing w:val="60"/>
                              <w:sz w:val="24"/>
                            </w:rPr>
                            <w:t>PRESSEMITEILUNG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rsidR="00CA29F0" w:rsidRPr="00BB17FA" w:rsidRDefault="00CA29F0" w:rsidP="0003725A">
                    <w:pPr>
                      <w:rPr>
                        <w:rFonts w:ascii="Arial" w:hAnsi="Arial" w:cs="Arial"/>
                        <w:color w:val="525556"/>
                        <w:spacing w:val="60"/>
                        <w:sz w:val="24"/>
                      </w:rPr>
                    </w:pPr>
                    <w:r w:rsidRPr="00BB17FA">
                      <w:rPr>
                        <w:rFonts w:ascii="Arial" w:hAnsi="Arial" w:cs="Arial"/>
                        <w:color w:val="525556"/>
                        <w:spacing w:val="60"/>
                        <w:sz w:val="24"/>
                      </w:rPr>
                      <w:t>PRESSEMITEILUNG</w:t>
                    </w:r>
                  </w:p>
                </w:txbxContent>
              </v:textbox>
            </v:shape>
          </w:pict>
        </mc:Fallback>
      </mc:AlternateContent>
    </w:r>
    <w:r>
      <w:rPr>
        <w:noProof/>
        <w:lang w:eastAsia="de-AT"/>
      </w:rPr>
      <w:drawing>
        <wp:anchor distT="0" distB="0" distL="114300" distR="114300" simplePos="0" relativeHeight="251659264" behindDoc="1" locked="0" layoutInCell="1" allowOverlap="1" wp14:anchorId="58808B0D" wp14:editId="56635DC5">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CA29F0" w:rsidRDefault="00CA29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759E"/>
    <w:multiLevelType w:val="hybridMultilevel"/>
    <w:tmpl w:val="74E61928"/>
    <w:lvl w:ilvl="0" w:tplc="B128CD12">
      <w:start w:val="1"/>
      <w:numFmt w:val="bullet"/>
      <w:lvlText w:val=""/>
      <w:lvlJc w:val="left"/>
      <w:pPr>
        <w:tabs>
          <w:tab w:val="num" w:pos="360"/>
        </w:tabs>
        <w:ind w:left="0" w:firstLine="0"/>
      </w:pPr>
      <w:rPr>
        <w:rFonts w:ascii="Wingdings" w:hAnsi="Wingdings" w:hint="default"/>
        <w:b/>
        <w:i w:val="0"/>
        <w:color w:val="3366FF"/>
        <w:sz w:val="24"/>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F7"/>
    <w:rsid w:val="00004A31"/>
    <w:rsid w:val="00012EC2"/>
    <w:rsid w:val="00033A31"/>
    <w:rsid w:val="0003725A"/>
    <w:rsid w:val="00041588"/>
    <w:rsid w:val="00047098"/>
    <w:rsid w:val="000557A3"/>
    <w:rsid w:val="00063E2F"/>
    <w:rsid w:val="00070AC2"/>
    <w:rsid w:val="00092E73"/>
    <w:rsid w:val="000A1B7C"/>
    <w:rsid w:val="000A20A1"/>
    <w:rsid w:val="000B68B2"/>
    <w:rsid w:val="000C7AA7"/>
    <w:rsid w:val="000D3ECA"/>
    <w:rsid w:val="000D4F83"/>
    <w:rsid w:val="000E0218"/>
    <w:rsid w:val="000E455E"/>
    <w:rsid w:val="000F1879"/>
    <w:rsid w:val="000F3610"/>
    <w:rsid w:val="00101F01"/>
    <w:rsid w:val="00107318"/>
    <w:rsid w:val="00126A76"/>
    <w:rsid w:val="00127DA7"/>
    <w:rsid w:val="001448EC"/>
    <w:rsid w:val="001472C6"/>
    <w:rsid w:val="001707A8"/>
    <w:rsid w:val="001714E2"/>
    <w:rsid w:val="001748E6"/>
    <w:rsid w:val="001826F7"/>
    <w:rsid w:val="00185C09"/>
    <w:rsid w:val="001871B1"/>
    <w:rsid w:val="001A56AC"/>
    <w:rsid w:val="001B4CC3"/>
    <w:rsid w:val="001C5EDC"/>
    <w:rsid w:val="001C6ED8"/>
    <w:rsid w:val="001E5906"/>
    <w:rsid w:val="001F4744"/>
    <w:rsid w:val="001F4EAF"/>
    <w:rsid w:val="00221FAF"/>
    <w:rsid w:val="00231856"/>
    <w:rsid w:val="002348AB"/>
    <w:rsid w:val="002350BE"/>
    <w:rsid w:val="00241FB6"/>
    <w:rsid w:val="0024313E"/>
    <w:rsid w:val="002447AA"/>
    <w:rsid w:val="00244E0A"/>
    <w:rsid w:val="002470E0"/>
    <w:rsid w:val="002658DD"/>
    <w:rsid w:val="00271921"/>
    <w:rsid w:val="00276AA8"/>
    <w:rsid w:val="00276D3B"/>
    <w:rsid w:val="002775D9"/>
    <w:rsid w:val="002814B1"/>
    <w:rsid w:val="00285686"/>
    <w:rsid w:val="00287054"/>
    <w:rsid w:val="0029061D"/>
    <w:rsid w:val="0029643D"/>
    <w:rsid w:val="002A7F6C"/>
    <w:rsid w:val="002C1B70"/>
    <w:rsid w:val="002C3FAB"/>
    <w:rsid w:val="002C657A"/>
    <w:rsid w:val="00306428"/>
    <w:rsid w:val="003178C0"/>
    <w:rsid w:val="003218D1"/>
    <w:rsid w:val="00347156"/>
    <w:rsid w:val="003620B6"/>
    <w:rsid w:val="0038260A"/>
    <w:rsid w:val="003849B2"/>
    <w:rsid w:val="0039783B"/>
    <w:rsid w:val="003C03ED"/>
    <w:rsid w:val="003C09F6"/>
    <w:rsid w:val="003C281F"/>
    <w:rsid w:val="003C472F"/>
    <w:rsid w:val="003D109F"/>
    <w:rsid w:val="003D414C"/>
    <w:rsid w:val="003E3C0F"/>
    <w:rsid w:val="0040208E"/>
    <w:rsid w:val="004205D6"/>
    <w:rsid w:val="0044683A"/>
    <w:rsid w:val="00450E4B"/>
    <w:rsid w:val="00456A9C"/>
    <w:rsid w:val="00474C8B"/>
    <w:rsid w:val="00482B47"/>
    <w:rsid w:val="00483367"/>
    <w:rsid w:val="00491EDA"/>
    <w:rsid w:val="0049282C"/>
    <w:rsid w:val="00496C47"/>
    <w:rsid w:val="004B398D"/>
    <w:rsid w:val="004D0F54"/>
    <w:rsid w:val="004D5C5D"/>
    <w:rsid w:val="004E1E07"/>
    <w:rsid w:val="004E3ABC"/>
    <w:rsid w:val="004E72F4"/>
    <w:rsid w:val="004F775C"/>
    <w:rsid w:val="00502996"/>
    <w:rsid w:val="00505498"/>
    <w:rsid w:val="00550938"/>
    <w:rsid w:val="0055130A"/>
    <w:rsid w:val="005537F7"/>
    <w:rsid w:val="00554CA5"/>
    <w:rsid w:val="00574E91"/>
    <w:rsid w:val="005B5DAC"/>
    <w:rsid w:val="005C6ACA"/>
    <w:rsid w:val="005D3685"/>
    <w:rsid w:val="00623138"/>
    <w:rsid w:val="00633DAD"/>
    <w:rsid w:val="006357D2"/>
    <w:rsid w:val="00651B40"/>
    <w:rsid w:val="0066676F"/>
    <w:rsid w:val="00687071"/>
    <w:rsid w:val="006942B9"/>
    <w:rsid w:val="00695C68"/>
    <w:rsid w:val="006A12E0"/>
    <w:rsid w:val="006A72B5"/>
    <w:rsid w:val="006C7056"/>
    <w:rsid w:val="006D329D"/>
    <w:rsid w:val="006D666D"/>
    <w:rsid w:val="006E20A3"/>
    <w:rsid w:val="006E67BD"/>
    <w:rsid w:val="006F1B94"/>
    <w:rsid w:val="006F3091"/>
    <w:rsid w:val="00704EE2"/>
    <w:rsid w:val="0071708C"/>
    <w:rsid w:val="007320B8"/>
    <w:rsid w:val="00745746"/>
    <w:rsid w:val="007628AD"/>
    <w:rsid w:val="00765C11"/>
    <w:rsid w:val="00795397"/>
    <w:rsid w:val="007A073E"/>
    <w:rsid w:val="007B312E"/>
    <w:rsid w:val="007D3E4E"/>
    <w:rsid w:val="008218B0"/>
    <w:rsid w:val="00823744"/>
    <w:rsid w:val="00823906"/>
    <w:rsid w:val="00871821"/>
    <w:rsid w:val="00881C90"/>
    <w:rsid w:val="00883850"/>
    <w:rsid w:val="00886C92"/>
    <w:rsid w:val="00887E16"/>
    <w:rsid w:val="008B0703"/>
    <w:rsid w:val="008B265D"/>
    <w:rsid w:val="008C6753"/>
    <w:rsid w:val="008D4BE8"/>
    <w:rsid w:val="008E1812"/>
    <w:rsid w:val="008F23ED"/>
    <w:rsid w:val="008F641D"/>
    <w:rsid w:val="0090576C"/>
    <w:rsid w:val="00915B6B"/>
    <w:rsid w:val="00922AAA"/>
    <w:rsid w:val="00925A30"/>
    <w:rsid w:val="0094751F"/>
    <w:rsid w:val="009548AD"/>
    <w:rsid w:val="00962B62"/>
    <w:rsid w:val="00963520"/>
    <w:rsid w:val="00965FF4"/>
    <w:rsid w:val="00970E36"/>
    <w:rsid w:val="009719D4"/>
    <w:rsid w:val="0097759B"/>
    <w:rsid w:val="009B5BDB"/>
    <w:rsid w:val="009E432D"/>
    <w:rsid w:val="009F4B0A"/>
    <w:rsid w:val="00A153FC"/>
    <w:rsid w:val="00A17376"/>
    <w:rsid w:val="00A21765"/>
    <w:rsid w:val="00A36D65"/>
    <w:rsid w:val="00A47D97"/>
    <w:rsid w:val="00A52CDB"/>
    <w:rsid w:val="00A552AC"/>
    <w:rsid w:val="00A8581D"/>
    <w:rsid w:val="00AA134F"/>
    <w:rsid w:val="00AB15A0"/>
    <w:rsid w:val="00AC157C"/>
    <w:rsid w:val="00AD3BDB"/>
    <w:rsid w:val="00AD52CE"/>
    <w:rsid w:val="00B04C3F"/>
    <w:rsid w:val="00B432A9"/>
    <w:rsid w:val="00B549D2"/>
    <w:rsid w:val="00B56FEF"/>
    <w:rsid w:val="00B7084F"/>
    <w:rsid w:val="00B73F9B"/>
    <w:rsid w:val="00B858CB"/>
    <w:rsid w:val="00B9034E"/>
    <w:rsid w:val="00BC41C8"/>
    <w:rsid w:val="00BD4ADE"/>
    <w:rsid w:val="00C0390B"/>
    <w:rsid w:val="00C04689"/>
    <w:rsid w:val="00C132B9"/>
    <w:rsid w:val="00C15C7C"/>
    <w:rsid w:val="00C35F88"/>
    <w:rsid w:val="00C5533D"/>
    <w:rsid w:val="00C64ABB"/>
    <w:rsid w:val="00C66A16"/>
    <w:rsid w:val="00C678F9"/>
    <w:rsid w:val="00C70FEF"/>
    <w:rsid w:val="00C72C4B"/>
    <w:rsid w:val="00C81733"/>
    <w:rsid w:val="00C8738F"/>
    <w:rsid w:val="00CA29F0"/>
    <w:rsid w:val="00CC692A"/>
    <w:rsid w:val="00CF2BBA"/>
    <w:rsid w:val="00D020A2"/>
    <w:rsid w:val="00D0251A"/>
    <w:rsid w:val="00D32819"/>
    <w:rsid w:val="00D5072A"/>
    <w:rsid w:val="00D60434"/>
    <w:rsid w:val="00D9409D"/>
    <w:rsid w:val="00DA6349"/>
    <w:rsid w:val="00DA7DC8"/>
    <w:rsid w:val="00DB7A16"/>
    <w:rsid w:val="00DE0A6C"/>
    <w:rsid w:val="00DE6F14"/>
    <w:rsid w:val="00E03894"/>
    <w:rsid w:val="00E10938"/>
    <w:rsid w:val="00E21767"/>
    <w:rsid w:val="00E22D0D"/>
    <w:rsid w:val="00E72D1F"/>
    <w:rsid w:val="00E75DF7"/>
    <w:rsid w:val="00E80F4B"/>
    <w:rsid w:val="00EA6D9D"/>
    <w:rsid w:val="00EC7D24"/>
    <w:rsid w:val="00ED79C7"/>
    <w:rsid w:val="00EF783A"/>
    <w:rsid w:val="00F032D5"/>
    <w:rsid w:val="00F35516"/>
    <w:rsid w:val="00F40CDB"/>
    <w:rsid w:val="00F434A2"/>
    <w:rsid w:val="00F44663"/>
    <w:rsid w:val="00F674DE"/>
    <w:rsid w:val="00F74FE8"/>
    <w:rsid w:val="00F9225F"/>
    <w:rsid w:val="00F97D6A"/>
    <w:rsid w:val="00FA1580"/>
    <w:rsid w:val="00FC42C8"/>
    <w:rsid w:val="00FD5E20"/>
    <w:rsid w:val="00FD638E"/>
    <w:rsid w:val="00FE165F"/>
    <w:rsid w:val="00FE67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customStyle="1" w:styleId="berschrift1Zchn">
    <w:name w:val="Überschrift 1 Zchn"/>
    <w:basedOn w:val="Absatz-Standardschriftart"/>
    <w:link w:val="berschrift1"/>
    <w:uiPriority w:val="9"/>
    <w:rsid w:val="003C03ED"/>
    <w:rPr>
      <w:rFonts w:asciiTheme="majorHAnsi" w:eastAsiaTheme="majorEastAsia" w:hAnsiTheme="majorHAnsi" w:cstheme="majorBidi"/>
      <w:b/>
      <w:bCs/>
      <w:color w:val="365F91" w:themeColor="accent1" w:themeShade="BF"/>
      <w:sz w:val="28"/>
      <w:szCs w:val="28"/>
    </w:rPr>
  </w:style>
  <w:style w:type="paragraph" w:customStyle="1" w:styleId="Quelle">
    <w:name w:val="Quelle"/>
    <w:basedOn w:val="Standard"/>
    <w:next w:val="Standard"/>
    <w:rsid w:val="00C8738F"/>
    <w:pPr>
      <w:spacing w:before="120" w:after="120" w:line="336" w:lineRule="auto"/>
      <w:jc w:val="center"/>
    </w:pPr>
    <w:rPr>
      <w:rFonts w:ascii="Tahoma" w:eastAsia="Times New Roman" w:hAnsi="Tahoma" w:cs="Times New Roman"/>
      <w:sz w:val="20"/>
      <w:szCs w:val="20"/>
      <w:lang w:val="de-DE" w:eastAsia="de-AT"/>
    </w:rPr>
  </w:style>
  <w:style w:type="character" w:styleId="Kommentarzeichen">
    <w:name w:val="annotation reference"/>
    <w:basedOn w:val="Absatz-Standardschriftart"/>
    <w:uiPriority w:val="99"/>
    <w:semiHidden/>
    <w:unhideWhenUsed/>
    <w:rsid w:val="00505498"/>
    <w:rPr>
      <w:sz w:val="16"/>
      <w:szCs w:val="16"/>
    </w:rPr>
  </w:style>
  <w:style w:type="paragraph" w:styleId="Kommentartext">
    <w:name w:val="annotation text"/>
    <w:basedOn w:val="Standard"/>
    <w:link w:val="KommentartextZchn"/>
    <w:uiPriority w:val="99"/>
    <w:semiHidden/>
    <w:unhideWhenUsed/>
    <w:rsid w:val="00505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5498"/>
    <w:rPr>
      <w:sz w:val="20"/>
      <w:szCs w:val="20"/>
    </w:rPr>
  </w:style>
  <w:style w:type="paragraph" w:styleId="Kommentarthema">
    <w:name w:val="annotation subject"/>
    <w:basedOn w:val="Kommentartext"/>
    <w:next w:val="Kommentartext"/>
    <w:link w:val="KommentarthemaZchn"/>
    <w:uiPriority w:val="99"/>
    <w:semiHidden/>
    <w:unhideWhenUsed/>
    <w:rsid w:val="00505498"/>
    <w:rPr>
      <w:b/>
      <w:bCs/>
    </w:rPr>
  </w:style>
  <w:style w:type="character" w:customStyle="1" w:styleId="KommentarthemaZchn">
    <w:name w:val="Kommentarthema Zchn"/>
    <w:basedOn w:val="KommentartextZchn"/>
    <w:link w:val="Kommentarthema"/>
    <w:uiPriority w:val="99"/>
    <w:semiHidden/>
    <w:rsid w:val="00505498"/>
    <w:rPr>
      <w:b/>
      <w:bCs/>
      <w:sz w:val="20"/>
      <w:szCs w:val="20"/>
    </w:rPr>
  </w:style>
  <w:style w:type="paragraph" w:styleId="berarbeitung">
    <w:name w:val="Revision"/>
    <w:hidden/>
    <w:uiPriority w:val="99"/>
    <w:semiHidden/>
    <w:rsid w:val="002C3FAB"/>
    <w:pPr>
      <w:spacing w:after="0" w:line="240" w:lineRule="auto"/>
    </w:pPr>
  </w:style>
  <w:style w:type="paragraph" w:styleId="Listenabsatz">
    <w:name w:val="List Paragraph"/>
    <w:basedOn w:val="Standard"/>
    <w:uiPriority w:val="34"/>
    <w:qFormat/>
    <w:rsid w:val="00DE0A6C"/>
    <w:pPr>
      <w:spacing w:before="180" w:after="0" w:line="336" w:lineRule="auto"/>
      <w:ind w:left="720"/>
      <w:contextualSpacing/>
      <w:jc w:val="both"/>
    </w:pPr>
    <w:rPr>
      <w:rFonts w:ascii="Tahoma" w:eastAsia="Times New Roman" w:hAnsi="Tahoma" w:cs="Times New Roman"/>
      <w:sz w:val="21"/>
      <w:szCs w:val="20"/>
      <w:lang w:val="de-DE" w:eastAsia="de-AT"/>
    </w:rPr>
  </w:style>
  <w:style w:type="paragraph" w:styleId="StandardWeb">
    <w:name w:val="Normal (Web)"/>
    <w:basedOn w:val="Standard"/>
    <w:uiPriority w:val="99"/>
    <w:semiHidden/>
    <w:unhideWhenUsed/>
    <w:rsid w:val="00241FB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customStyle="1" w:styleId="berschrift1Zchn">
    <w:name w:val="Überschrift 1 Zchn"/>
    <w:basedOn w:val="Absatz-Standardschriftart"/>
    <w:link w:val="berschrift1"/>
    <w:uiPriority w:val="9"/>
    <w:rsid w:val="003C03ED"/>
    <w:rPr>
      <w:rFonts w:asciiTheme="majorHAnsi" w:eastAsiaTheme="majorEastAsia" w:hAnsiTheme="majorHAnsi" w:cstheme="majorBidi"/>
      <w:b/>
      <w:bCs/>
      <w:color w:val="365F91" w:themeColor="accent1" w:themeShade="BF"/>
      <w:sz w:val="28"/>
      <w:szCs w:val="28"/>
    </w:rPr>
  </w:style>
  <w:style w:type="paragraph" w:customStyle="1" w:styleId="Quelle">
    <w:name w:val="Quelle"/>
    <w:basedOn w:val="Standard"/>
    <w:next w:val="Standard"/>
    <w:rsid w:val="00C8738F"/>
    <w:pPr>
      <w:spacing w:before="120" w:after="120" w:line="336" w:lineRule="auto"/>
      <w:jc w:val="center"/>
    </w:pPr>
    <w:rPr>
      <w:rFonts w:ascii="Tahoma" w:eastAsia="Times New Roman" w:hAnsi="Tahoma" w:cs="Times New Roman"/>
      <w:sz w:val="20"/>
      <w:szCs w:val="20"/>
      <w:lang w:val="de-DE" w:eastAsia="de-AT"/>
    </w:rPr>
  </w:style>
  <w:style w:type="character" w:styleId="Kommentarzeichen">
    <w:name w:val="annotation reference"/>
    <w:basedOn w:val="Absatz-Standardschriftart"/>
    <w:uiPriority w:val="99"/>
    <w:semiHidden/>
    <w:unhideWhenUsed/>
    <w:rsid w:val="00505498"/>
    <w:rPr>
      <w:sz w:val="16"/>
      <w:szCs w:val="16"/>
    </w:rPr>
  </w:style>
  <w:style w:type="paragraph" w:styleId="Kommentartext">
    <w:name w:val="annotation text"/>
    <w:basedOn w:val="Standard"/>
    <w:link w:val="KommentartextZchn"/>
    <w:uiPriority w:val="99"/>
    <w:semiHidden/>
    <w:unhideWhenUsed/>
    <w:rsid w:val="00505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5498"/>
    <w:rPr>
      <w:sz w:val="20"/>
      <w:szCs w:val="20"/>
    </w:rPr>
  </w:style>
  <w:style w:type="paragraph" w:styleId="Kommentarthema">
    <w:name w:val="annotation subject"/>
    <w:basedOn w:val="Kommentartext"/>
    <w:next w:val="Kommentartext"/>
    <w:link w:val="KommentarthemaZchn"/>
    <w:uiPriority w:val="99"/>
    <w:semiHidden/>
    <w:unhideWhenUsed/>
    <w:rsid w:val="00505498"/>
    <w:rPr>
      <w:b/>
      <w:bCs/>
    </w:rPr>
  </w:style>
  <w:style w:type="character" w:customStyle="1" w:styleId="KommentarthemaZchn">
    <w:name w:val="Kommentarthema Zchn"/>
    <w:basedOn w:val="KommentartextZchn"/>
    <w:link w:val="Kommentarthema"/>
    <w:uiPriority w:val="99"/>
    <w:semiHidden/>
    <w:rsid w:val="00505498"/>
    <w:rPr>
      <w:b/>
      <w:bCs/>
      <w:sz w:val="20"/>
      <w:szCs w:val="20"/>
    </w:rPr>
  </w:style>
  <w:style w:type="paragraph" w:styleId="berarbeitung">
    <w:name w:val="Revision"/>
    <w:hidden/>
    <w:uiPriority w:val="99"/>
    <w:semiHidden/>
    <w:rsid w:val="002C3FAB"/>
    <w:pPr>
      <w:spacing w:after="0" w:line="240" w:lineRule="auto"/>
    </w:pPr>
  </w:style>
  <w:style w:type="paragraph" w:styleId="Listenabsatz">
    <w:name w:val="List Paragraph"/>
    <w:basedOn w:val="Standard"/>
    <w:uiPriority w:val="34"/>
    <w:qFormat/>
    <w:rsid w:val="00DE0A6C"/>
    <w:pPr>
      <w:spacing w:before="180" w:after="0" w:line="336" w:lineRule="auto"/>
      <w:ind w:left="720"/>
      <w:contextualSpacing/>
      <w:jc w:val="both"/>
    </w:pPr>
    <w:rPr>
      <w:rFonts w:ascii="Tahoma" w:eastAsia="Times New Roman" w:hAnsi="Tahoma" w:cs="Times New Roman"/>
      <w:sz w:val="21"/>
      <w:szCs w:val="20"/>
      <w:lang w:val="de-DE" w:eastAsia="de-AT"/>
    </w:rPr>
  </w:style>
  <w:style w:type="paragraph" w:styleId="StandardWeb">
    <w:name w:val="Normal (Web)"/>
    <w:basedOn w:val="Standard"/>
    <w:uiPriority w:val="99"/>
    <w:semiHidden/>
    <w:unhideWhenUsed/>
    <w:rsid w:val="00241FB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7626">
      <w:bodyDiv w:val="1"/>
      <w:marLeft w:val="0"/>
      <w:marRight w:val="0"/>
      <w:marTop w:val="0"/>
      <w:marBottom w:val="0"/>
      <w:divBdr>
        <w:top w:val="none" w:sz="0" w:space="0" w:color="auto"/>
        <w:left w:val="none" w:sz="0" w:space="0" w:color="auto"/>
        <w:bottom w:val="none" w:sz="0" w:space="0" w:color="auto"/>
        <w:right w:val="none" w:sz="0" w:space="0" w:color="auto"/>
      </w:divBdr>
    </w:div>
    <w:div w:id="156310676">
      <w:bodyDiv w:val="1"/>
      <w:marLeft w:val="0"/>
      <w:marRight w:val="0"/>
      <w:marTop w:val="0"/>
      <w:marBottom w:val="0"/>
      <w:divBdr>
        <w:top w:val="none" w:sz="0" w:space="0" w:color="auto"/>
        <w:left w:val="none" w:sz="0" w:space="0" w:color="auto"/>
        <w:bottom w:val="none" w:sz="0" w:space="0" w:color="auto"/>
        <w:right w:val="none" w:sz="0" w:space="0" w:color="auto"/>
      </w:divBdr>
    </w:div>
    <w:div w:id="548759354">
      <w:bodyDiv w:val="1"/>
      <w:marLeft w:val="0"/>
      <w:marRight w:val="0"/>
      <w:marTop w:val="0"/>
      <w:marBottom w:val="0"/>
      <w:divBdr>
        <w:top w:val="none" w:sz="0" w:space="0" w:color="auto"/>
        <w:left w:val="none" w:sz="0" w:space="0" w:color="auto"/>
        <w:bottom w:val="none" w:sz="0" w:space="0" w:color="auto"/>
        <w:right w:val="none" w:sz="0" w:space="0" w:color="auto"/>
      </w:divBdr>
    </w:div>
    <w:div w:id="1141076832">
      <w:bodyDiv w:val="1"/>
      <w:marLeft w:val="0"/>
      <w:marRight w:val="0"/>
      <w:marTop w:val="0"/>
      <w:marBottom w:val="0"/>
      <w:divBdr>
        <w:top w:val="none" w:sz="0" w:space="0" w:color="auto"/>
        <w:left w:val="none" w:sz="0" w:space="0" w:color="auto"/>
        <w:bottom w:val="none" w:sz="0" w:space="0" w:color="auto"/>
        <w:right w:val="none" w:sz="0" w:space="0" w:color="auto"/>
      </w:divBdr>
    </w:div>
    <w:div w:id="1153569527">
      <w:bodyDiv w:val="1"/>
      <w:marLeft w:val="0"/>
      <w:marRight w:val="0"/>
      <w:marTop w:val="0"/>
      <w:marBottom w:val="0"/>
      <w:divBdr>
        <w:top w:val="none" w:sz="0" w:space="0" w:color="auto"/>
        <w:left w:val="none" w:sz="0" w:space="0" w:color="auto"/>
        <w:bottom w:val="none" w:sz="0" w:space="0" w:color="auto"/>
        <w:right w:val="none" w:sz="0" w:space="0" w:color="auto"/>
      </w:divBdr>
      <w:divsChild>
        <w:div w:id="1004670342">
          <w:marLeft w:val="0"/>
          <w:marRight w:val="0"/>
          <w:marTop w:val="0"/>
          <w:marBottom w:val="0"/>
          <w:divBdr>
            <w:top w:val="single" w:sz="2" w:space="0" w:color="auto"/>
            <w:left w:val="single" w:sz="2" w:space="0" w:color="auto"/>
            <w:bottom w:val="single" w:sz="6" w:space="0" w:color="auto"/>
            <w:right w:val="single" w:sz="2" w:space="0" w:color="auto"/>
          </w:divBdr>
          <w:divsChild>
            <w:div w:id="607625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7726874">
                  <w:marLeft w:val="0"/>
                  <w:marRight w:val="0"/>
                  <w:marTop w:val="0"/>
                  <w:marBottom w:val="0"/>
                  <w:divBdr>
                    <w:top w:val="single" w:sz="2" w:space="0" w:color="D9D9E3"/>
                    <w:left w:val="single" w:sz="2" w:space="0" w:color="D9D9E3"/>
                    <w:bottom w:val="single" w:sz="2" w:space="0" w:color="D9D9E3"/>
                    <w:right w:val="single" w:sz="2" w:space="0" w:color="D9D9E3"/>
                  </w:divBdr>
                  <w:divsChild>
                    <w:div w:id="1757820744">
                      <w:marLeft w:val="0"/>
                      <w:marRight w:val="0"/>
                      <w:marTop w:val="0"/>
                      <w:marBottom w:val="0"/>
                      <w:divBdr>
                        <w:top w:val="single" w:sz="2" w:space="0" w:color="D9D9E3"/>
                        <w:left w:val="single" w:sz="2" w:space="0" w:color="D9D9E3"/>
                        <w:bottom w:val="single" w:sz="2" w:space="0" w:color="D9D9E3"/>
                        <w:right w:val="single" w:sz="2" w:space="0" w:color="D9D9E3"/>
                      </w:divBdr>
                      <w:divsChild>
                        <w:div w:id="1843013214">
                          <w:marLeft w:val="0"/>
                          <w:marRight w:val="0"/>
                          <w:marTop w:val="0"/>
                          <w:marBottom w:val="0"/>
                          <w:divBdr>
                            <w:top w:val="single" w:sz="2" w:space="0" w:color="D9D9E3"/>
                            <w:left w:val="single" w:sz="2" w:space="0" w:color="D9D9E3"/>
                            <w:bottom w:val="single" w:sz="2" w:space="0" w:color="D9D9E3"/>
                            <w:right w:val="single" w:sz="2" w:space="0" w:color="D9D9E3"/>
                          </w:divBdr>
                          <w:divsChild>
                            <w:div w:id="818693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8823824">
          <w:marLeft w:val="0"/>
          <w:marRight w:val="0"/>
          <w:marTop w:val="0"/>
          <w:marBottom w:val="0"/>
          <w:divBdr>
            <w:top w:val="single" w:sz="2" w:space="0" w:color="auto"/>
            <w:left w:val="single" w:sz="2" w:space="0" w:color="auto"/>
            <w:bottom w:val="single" w:sz="6" w:space="0" w:color="auto"/>
            <w:right w:val="single" w:sz="2" w:space="0" w:color="auto"/>
          </w:divBdr>
          <w:divsChild>
            <w:div w:id="1844202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377890">
                  <w:marLeft w:val="0"/>
                  <w:marRight w:val="0"/>
                  <w:marTop w:val="0"/>
                  <w:marBottom w:val="0"/>
                  <w:divBdr>
                    <w:top w:val="single" w:sz="2" w:space="0" w:color="D9D9E3"/>
                    <w:left w:val="single" w:sz="2" w:space="0" w:color="D9D9E3"/>
                    <w:bottom w:val="single" w:sz="2" w:space="0" w:color="D9D9E3"/>
                    <w:right w:val="single" w:sz="2" w:space="0" w:color="D9D9E3"/>
                  </w:divBdr>
                  <w:divsChild>
                    <w:div w:id="1748841795">
                      <w:marLeft w:val="0"/>
                      <w:marRight w:val="0"/>
                      <w:marTop w:val="0"/>
                      <w:marBottom w:val="0"/>
                      <w:divBdr>
                        <w:top w:val="single" w:sz="2" w:space="0" w:color="D9D9E3"/>
                        <w:left w:val="single" w:sz="2" w:space="0" w:color="D9D9E3"/>
                        <w:bottom w:val="single" w:sz="2" w:space="0" w:color="D9D9E3"/>
                        <w:right w:val="single" w:sz="2" w:space="0" w:color="D9D9E3"/>
                      </w:divBdr>
                      <w:divsChild>
                        <w:div w:id="1433013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0011493">
                  <w:marLeft w:val="0"/>
                  <w:marRight w:val="0"/>
                  <w:marTop w:val="0"/>
                  <w:marBottom w:val="0"/>
                  <w:divBdr>
                    <w:top w:val="single" w:sz="2" w:space="0" w:color="D9D9E3"/>
                    <w:left w:val="single" w:sz="2" w:space="0" w:color="D9D9E3"/>
                    <w:bottom w:val="single" w:sz="2" w:space="0" w:color="D9D9E3"/>
                    <w:right w:val="single" w:sz="2" w:space="0" w:color="D9D9E3"/>
                  </w:divBdr>
                  <w:divsChild>
                    <w:div w:id="230390708">
                      <w:marLeft w:val="0"/>
                      <w:marRight w:val="0"/>
                      <w:marTop w:val="0"/>
                      <w:marBottom w:val="0"/>
                      <w:divBdr>
                        <w:top w:val="single" w:sz="2" w:space="0" w:color="D9D9E3"/>
                        <w:left w:val="single" w:sz="2" w:space="0" w:color="D9D9E3"/>
                        <w:bottom w:val="single" w:sz="2" w:space="0" w:color="D9D9E3"/>
                        <w:right w:val="single" w:sz="2" w:space="0" w:color="D9D9E3"/>
                      </w:divBdr>
                      <w:divsChild>
                        <w:div w:id="621301772">
                          <w:marLeft w:val="0"/>
                          <w:marRight w:val="0"/>
                          <w:marTop w:val="0"/>
                          <w:marBottom w:val="0"/>
                          <w:divBdr>
                            <w:top w:val="single" w:sz="2" w:space="0" w:color="D9D9E3"/>
                            <w:left w:val="single" w:sz="2" w:space="0" w:color="D9D9E3"/>
                            <w:bottom w:val="single" w:sz="2" w:space="0" w:color="D9D9E3"/>
                            <w:right w:val="single" w:sz="2" w:space="0" w:color="D9D9E3"/>
                          </w:divBdr>
                          <w:divsChild>
                            <w:div w:id="2011787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23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lihovic@regiodat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0283-B9E2-4D2A-BD27-895F5305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Wolfgang Richter</dc:creator>
  <cp:lastModifiedBy>RegioData – Amela Salihovic</cp:lastModifiedBy>
  <cp:revision>16</cp:revision>
  <cp:lastPrinted>2023-07-05T09:29:00Z</cp:lastPrinted>
  <dcterms:created xsi:type="dcterms:W3CDTF">2023-07-04T12:45:00Z</dcterms:created>
  <dcterms:modified xsi:type="dcterms:W3CDTF">2023-07-06T07:27:00Z</dcterms:modified>
</cp:coreProperties>
</file>