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9E" w:rsidRDefault="0013619E" w:rsidP="0013619E">
      <w:pPr>
        <w:rPr>
          <w:sz w:val="24"/>
          <w:szCs w:val="24"/>
        </w:rPr>
      </w:pPr>
    </w:p>
    <w:p w:rsidR="0013619E" w:rsidRPr="003B0D82" w:rsidRDefault="0091677B" w:rsidP="0013619E">
      <w:pPr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Cs/>
          <w:color w:val="009ADB"/>
          <w:spacing w:val="10"/>
          <w:szCs w:val="20"/>
          <w:lang w:val="de-DE"/>
        </w:rPr>
        <w:t>PRESS CONTACT</w:t>
      </w:r>
      <w:r w:rsidR="0013619E" w:rsidRPr="003B0D82">
        <w:rPr>
          <w:rFonts w:ascii="Arial" w:hAnsi="Arial" w:cs="Arial"/>
          <w:sz w:val="20"/>
          <w:szCs w:val="20"/>
          <w:lang w:val="de-DE"/>
        </w:rPr>
        <w:tab/>
      </w:r>
      <w:r w:rsidR="0013619E">
        <w:rPr>
          <w:rFonts w:ascii="Arial" w:hAnsi="Arial" w:cs="Arial"/>
          <w:sz w:val="20"/>
          <w:szCs w:val="20"/>
          <w:lang w:val="de-DE"/>
        </w:rPr>
        <w:t xml:space="preserve">            </w:t>
      </w:r>
      <w:r w:rsidR="0013619E">
        <w:rPr>
          <w:rFonts w:ascii="Arial" w:hAnsi="Arial" w:cs="Arial"/>
          <w:sz w:val="20"/>
          <w:szCs w:val="20"/>
          <w:lang w:val="de-DE"/>
        </w:rPr>
        <w:tab/>
      </w:r>
      <w:r w:rsidR="0013619E">
        <w:rPr>
          <w:rFonts w:ascii="Arial" w:hAnsi="Arial" w:cs="Arial"/>
          <w:sz w:val="20"/>
          <w:szCs w:val="20"/>
          <w:lang w:val="de-DE"/>
        </w:rPr>
        <w:tab/>
      </w:r>
      <w:r w:rsidR="0013619E">
        <w:rPr>
          <w:rFonts w:ascii="Arial" w:hAnsi="Arial" w:cs="Arial"/>
          <w:sz w:val="20"/>
          <w:szCs w:val="20"/>
          <w:lang w:val="de-DE"/>
        </w:rPr>
        <w:tab/>
      </w:r>
      <w:r w:rsidR="0013619E">
        <w:rPr>
          <w:rFonts w:ascii="Arial" w:hAnsi="Arial" w:cs="Arial"/>
          <w:sz w:val="20"/>
          <w:szCs w:val="20"/>
          <w:lang w:val="de-DE"/>
        </w:rPr>
        <w:tab/>
      </w:r>
      <w:r w:rsidR="0013619E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="0013619E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bCs/>
          <w:color w:val="009ADB"/>
          <w:spacing w:val="10"/>
          <w:szCs w:val="20"/>
          <w:lang w:val="de-DE"/>
        </w:rPr>
        <w:t>DATE</w:t>
      </w:r>
      <w:r w:rsidR="0013619E"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13619E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:rsidR="0013619E" w:rsidRPr="0091677B" w:rsidRDefault="0013619E" w:rsidP="0013619E">
      <w:pPr>
        <w:rPr>
          <w:rFonts w:ascii="Arial" w:hAnsi="Arial" w:cs="Arial"/>
          <w:color w:val="525556"/>
          <w:sz w:val="20"/>
          <w:szCs w:val="20"/>
          <w:lang w:val="en-GB"/>
        </w:rPr>
      </w:pP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 xml:space="preserve">RegioData Research GmbH </w:t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E472AF">
        <w:rPr>
          <w:rFonts w:ascii="Arial" w:hAnsi="Arial" w:cs="Arial"/>
          <w:b/>
          <w:color w:val="525556"/>
          <w:sz w:val="20"/>
          <w:szCs w:val="20"/>
          <w:lang w:val="de-DE"/>
        </w:rPr>
        <w:t>0</w:t>
      </w:r>
      <w:r w:rsidR="00D068DD">
        <w:rPr>
          <w:rFonts w:ascii="Arial" w:hAnsi="Arial" w:cs="Arial"/>
          <w:b/>
          <w:color w:val="525556"/>
          <w:sz w:val="20"/>
          <w:szCs w:val="20"/>
          <w:lang w:val="de-DE"/>
        </w:rPr>
        <w:t>5</w:t>
      </w:r>
      <w:r w:rsidRPr="008B265D">
        <w:rPr>
          <w:rFonts w:ascii="Arial" w:hAnsi="Arial" w:cs="Arial"/>
          <w:b/>
          <w:color w:val="525556"/>
          <w:sz w:val="20"/>
          <w:szCs w:val="20"/>
          <w:lang w:val="de-DE"/>
        </w:rPr>
        <w:t xml:space="preserve">. </w:t>
      </w:r>
      <w:r w:rsidR="00E472AF" w:rsidRPr="0091677B">
        <w:rPr>
          <w:rFonts w:ascii="Arial" w:hAnsi="Arial" w:cs="Arial"/>
          <w:b/>
          <w:color w:val="525556"/>
          <w:sz w:val="20"/>
          <w:szCs w:val="20"/>
          <w:lang w:val="en-GB"/>
        </w:rPr>
        <w:t>Mai</w:t>
      </w:r>
      <w:r w:rsidRPr="0091677B">
        <w:rPr>
          <w:rFonts w:ascii="Arial" w:hAnsi="Arial" w:cs="Arial"/>
          <w:b/>
          <w:color w:val="525556"/>
          <w:sz w:val="20"/>
          <w:szCs w:val="20"/>
          <w:lang w:val="en-GB"/>
        </w:rPr>
        <w:t xml:space="preserve"> 2023</w:t>
      </w:r>
      <w:r w:rsidRPr="0091677B">
        <w:rPr>
          <w:rFonts w:ascii="Arial" w:hAnsi="Arial" w:cs="Arial"/>
          <w:color w:val="525556"/>
          <w:sz w:val="20"/>
          <w:szCs w:val="20"/>
          <w:lang w:val="en-GB"/>
        </w:rPr>
        <w:br/>
        <w:t>Amela Salihovic, M.A.</w:t>
      </w:r>
      <w:r w:rsidRPr="0091677B">
        <w:rPr>
          <w:rFonts w:ascii="Arial" w:hAnsi="Arial" w:cs="Arial"/>
          <w:color w:val="525556"/>
          <w:sz w:val="20"/>
          <w:szCs w:val="20"/>
          <w:lang w:val="en-GB"/>
        </w:rPr>
        <w:br/>
      </w:r>
      <w:proofErr w:type="spellStart"/>
      <w:r w:rsidRPr="0091677B">
        <w:rPr>
          <w:rFonts w:ascii="Arial" w:hAnsi="Arial" w:cs="Arial"/>
          <w:color w:val="525556"/>
          <w:sz w:val="20"/>
          <w:szCs w:val="20"/>
          <w:lang w:val="en-GB"/>
        </w:rPr>
        <w:t>Theobaldgasse</w:t>
      </w:r>
      <w:proofErr w:type="spellEnd"/>
      <w:r w:rsidRPr="0091677B">
        <w:rPr>
          <w:rFonts w:ascii="Arial" w:hAnsi="Arial" w:cs="Arial"/>
          <w:color w:val="525556"/>
          <w:sz w:val="20"/>
          <w:szCs w:val="20"/>
          <w:lang w:val="en-GB"/>
        </w:rPr>
        <w:t xml:space="preserve"> 8 | 1060 </w:t>
      </w:r>
      <w:r w:rsidR="0091677B" w:rsidRPr="0091677B">
        <w:rPr>
          <w:rFonts w:ascii="Arial" w:hAnsi="Arial" w:cs="Arial"/>
          <w:color w:val="525556"/>
          <w:sz w:val="20"/>
          <w:szCs w:val="20"/>
          <w:lang w:val="en-GB"/>
        </w:rPr>
        <w:t>Vienna</w:t>
      </w:r>
      <w:r w:rsidRPr="0091677B">
        <w:rPr>
          <w:rFonts w:ascii="Arial" w:hAnsi="Arial" w:cs="Arial"/>
          <w:color w:val="525556"/>
          <w:sz w:val="20"/>
          <w:szCs w:val="20"/>
          <w:lang w:val="en-GB"/>
        </w:rPr>
        <w:br/>
        <w:t>+43 1 585 76 27-50</w:t>
      </w:r>
      <w:r w:rsidRPr="0091677B">
        <w:rPr>
          <w:rFonts w:ascii="Arial" w:hAnsi="Arial" w:cs="Arial"/>
          <w:color w:val="525556"/>
          <w:sz w:val="20"/>
          <w:szCs w:val="20"/>
          <w:lang w:val="en-GB"/>
        </w:rPr>
        <w:br/>
      </w:r>
      <w:hyperlink r:id="rId8" w:history="1">
        <w:r w:rsidRPr="0091677B">
          <w:rPr>
            <w:rFonts w:ascii="Arial" w:hAnsi="Arial" w:cs="Arial"/>
            <w:color w:val="525556"/>
            <w:sz w:val="20"/>
            <w:szCs w:val="20"/>
            <w:lang w:val="en-GB"/>
          </w:rPr>
          <w:t>a.salihovic@regiodata.eu</w:t>
        </w:r>
      </w:hyperlink>
      <w:r w:rsidRPr="0091677B">
        <w:rPr>
          <w:rFonts w:ascii="Arial" w:hAnsi="Arial" w:cs="Arial"/>
          <w:color w:val="525556"/>
          <w:sz w:val="20"/>
          <w:szCs w:val="20"/>
          <w:lang w:val="en-GB"/>
        </w:rPr>
        <w:br/>
        <w:t>www.regiodata.eu</w:t>
      </w:r>
    </w:p>
    <w:p w:rsidR="0013619E" w:rsidRPr="0091677B" w:rsidRDefault="0013619E" w:rsidP="0013619E">
      <w:pPr>
        <w:rPr>
          <w:sz w:val="24"/>
          <w:szCs w:val="24"/>
          <w:lang w:val="en-GB"/>
        </w:rPr>
      </w:pPr>
    </w:p>
    <w:p w:rsidR="005346CC" w:rsidRPr="005346CC" w:rsidRDefault="005346CC" w:rsidP="00330D7F">
      <w:pPr>
        <w:spacing w:line="360" w:lineRule="auto"/>
        <w:jc w:val="both"/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</w:pPr>
      <w:r w:rsidRPr="005346CC">
        <w:rPr>
          <w:rFonts w:ascii="Arial" w:hAnsi="Arial" w:cs="Arial"/>
          <w:bCs/>
          <w:color w:val="009ADB"/>
          <w:spacing w:val="10"/>
          <w:sz w:val="24"/>
          <w:szCs w:val="20"/>
          <w:lang w:val="en-GB"/>
        </w:rPr>
        <w:t>FOOD RETAIL: SALES REMAIN ON A SUCCESSFUL COURSE</w:t>
      </w:r>
    </w:p>
    <w:p w:rsidR="00C4195E" w:rsidRDefault="005346CC" w:rsidP="0013619E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5346CC">
        <w:rPr>
          <w:rFonts w:ascii="Arial" w:hAnsi="Arial" w:cs="Arial"/>
          <w:b/>
          <w:bCs/>
          <w:sz w:val="20"/>
          <w:szCs w:val="20"/>
          <w:lang w:val="en-GB"/>
        </w:rPr>
        <w:t>The Austrian food market defied the odds in 2022. The year was overshadowed by the impact of the Ukraine war and pandemic-related supply chain problems, yet these circumstances had less of a negative impact on the food market than expected.</w:t>
      </w:r>
    </w:p>
    <w:p w:rsidR="005346CC" w:rsidRPr="005346CC" w:rsidRDefault="005346CC" w:rsidP="0013619E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4195E" w:rsidRPr="00EC1403" w:rsidRDefault="00546B36" w:rsidP="0013619E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546B36">
        <w:rPr>
          <w:rFonts w:ascii="Arial" w:hAnsi="Arial" w:cs="Arial"/>
          <w:b/>
          <w:bCs/>
          <w:sz w:val="20"/>
          <w:szCs w:val="20"/>
          <w:lang w:val="de-DE"/>
        </w:rPr>
        <w:drawing>
          <wp:inline distT="0" distB="0" distL="0" distR="0" wp14:anchorId="6E158831" wp14:editId="4116FD35">
            <wp:extent cx="5760720" cy="3235582"/>
            <wp:effectExtent l="19050" t="19050" r="11430" b="222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58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619E" w:rsidRPr="00C22A6A" w:rsidRDefault="0013619E" w:rsidP="0013619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346CC" w:rsidRPr="005346CC" w:rsidRDefault="005346CC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5346CC">
        <w:rPr>
          <w:rFonts w:ascii="Arial" w:hAnsi="Arial" w:cs="Arial"/>
          <w:bCs/>
          <w:spacing w:val="10"/>
          <w:sz w:val="24"/>
          <w:szCs w:val="20"/>
          <w:lang w:val="en-GB"/>
        </w:rPr>
        <w:t>Strong sales growth</w:t>
      </w:r>
    </w:p>
    <w:p w:rsidR="00800173" w:rsidRPr="005346CC" w:rsidRDefault="005346CC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A0162D">
        <w:rPr>
          <w:rFonts w:ascii="Arial" w:hAnsi="Arial" w:cs="Arial"/>
          <w:sz w:val="20"/>
          <w:szCs w:val="24"/>
          <w:lang w:val="en-GB"/>
        </w:rPr>
        <w:t>In 2022, the Austrian food retail sector (primarily engaged in the retail sale of food) achieved a nominal sales growth of 4.3%, equivalent to a total volume of €</w:t>
      </w:r>
      <w:r w:rsidR="00A0162D" w:rsidRPr="00A0162D">
        <w:rPr>
          <w:rFonts w:ascii="Arial" w:hAnsi="Arial" w:cs="Arial"/>
          <w:sz w:val="20"/>
          <w:szCs w:val="24"/>
          <w:lang w:val="en-GB"/>
        </w:rPr>
        <w:t xml:space="preserve"> </w:t>
      </w:r>
      <w:r w:rsidRPr="00A0162D">
        <w:rPr>
          <w:rFonts w:ascii="Arial" w:hAnsi="Arial" w:cs="Arial"/>
          <w:sz w:val="20"/>
          <w:szCs w:val="24"/>
          <w:lang w:val="en-GB"/>
        </w:rPr>
        <w:t>25.8 billion (gross).</w:t>
      </w:r>
      <w:r w:rsidRPr="00A0162D">
        <w:rPr>
          <w:rFonts w:ascii="Arial" w:hAnsi="Arial" w:cs="Arial"/>
          <w:sz w:val="20"/>
          <w:szCs w:val="24"/>
          <w:lang w:val="en-GB"/>
        </w:rPr>
        <w:t xml:space="preserve"> </w:t>
      </w:r>
      <w:r w:rsidRPr="005346CC">
        <w:rPr>
          <w:rFonts w:ascii="Arial" w:hAnsi="Arial" w:cs="Arial"/>
          <w:sz w:val="20"/>
          <w:szCs w:val="24"/>
          <w:lang w:val="en-GB"/>
        </w:rPr>
        <w:t xml:space="preserve">This result was due not least to the sensitively high price increases in the food retail sector. </w:t>
      </w:r>
      <w:r w:rsidRPr="005346CC">
        <w:rPr>
          <w:rFonts w:ascii="Arial" w:hAnsi="Arial" w:cs="Arial"/>
          <w:sz w:val="20"/>
          <w:szCs w:val="24"/>
        </w:rPr>
        <w:t xml:space="preserve">The </w:t>
      </w:r>
      <w:proofErr w:type="spellStart"/>
      <w:r w:rsidRPr="005346CC">
        <w:rPr>
          <w:rFonts w:ascii="Arial" w:hAnsi="Arial" w:cs="Arial"/>
          <w:sz w:val="20"/>
          <w:szCs w:val="24"/>
        </w:rPr>
        <w:t>average</w:t>
      </w:r>
      <w:proofErr w:type="spellEnd"/>
      <w:r w:rsidRPr="005346CC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5346CC">
        <w:rPr>
          <w:rFonts w:ascii="Arial" w:hAnsi="Arial" w:cs="Arial"/>
          <w:sz w:val="20"/>
          <w:szCs w:val="24"/>
        </w:rPr>
        <w:t>inflation</w:t>
      </w:r>
      <w:proofErr w:type="spellEnd"/>
      <w:r w:rsidRPr="005346CC">
        <w:rPr>
          <w:rFonts w:ascii="Arial" w:hAnsi="Arial" w:cs="Arial"/>
          <w:sz w:val="20"/>
          <w:szCs w:val="24"/>
        </w:rPr>
        <w:t xml:space="preserve"> rate for food and non-alcoholic beverages in 2022 was 10.7% compared wit</w:t>
      </w:r>
      <w:r>
        <w:rPr>
          <w:rFonts w:ascii="Arial" w:hAnsi="Arial" w:cs="Arial"/>
          <w:sz w:val="20"/>
          <w:szCs w:val="24"/>
        </w:rPr>
        <w:t xml:space="preserve">h the previous year. </w:t>
      </w:r>
      <w:r w:rsidRPr="005346CC">
        <w:rPr>
          <w:rFonts w:ascii="Arial" w:hAnsi="Arial" w:cs="Arial"/>
          <w:sz w:val="20"/>
          <w:szCs w:val="24"/>
          <w:lang w:val="en-GB"/>
        </w:rPr>
        <w:t>The market is ri</w:t>
      </w:r>
      <w:r w:rsidRPr="005346CC">
        <w:rPr>
          <w:rFonts w:ascii="Arial" w:hAnsi="Arial" w:cs="Arial"/>
          <w:sz w:val="20"/>
          <w:szCs w:val="24"/>
          <w:lang w:val="en-GB"/>
        </w:rPr>
        <w:t>s</w:t>
      </w:r>
      <w:r w:rsidRPr="005346CC">
        <w:rPr>
          <w:rFonts w:ascii="Arial" w:hAnsi="Arial" w:cs="Arial"/>
          <w:sz w:val="20"/>
          <w:szCs w:val="24"/>
          <w:lang w:val="en-GB"/>
        </w:rPr>
        <w:t>ing unabated, and this trend is expected to conti</w:t>
      </w:r>
      <w:r w:rsidRPr="005346CC">
        <w:rPr>
          <w:rFonts w:ascii="Arial" w:hAnsi="Arial" w:cs="Arial"/>
          <w:sz w:val="20"/>
          <w:szCs w:val="24"/>
          <w:lang w:val="en-GB"/>
        </w:rPr>
        <w:t>n</w:t>
      </w:r>
      <w:r w:rsidRPr="005346CC">
        <w:rPr>
          <w:rFonts w:ascii="Arial" w:hAnsi="Arial" w:cs="Arial"/>
          <w:sz w:val="20"/>
          <w:szCs w:val="24"/>
          <w:lang w:val="en-GB"/>
        </w:rPr>
        <w:t>ue.</w:t>
      </w:r>
    </w:p>
    <w:p w:rsidR="005346CC" w:rsidRPr="00D97748" w:rsidRDefault="005346CC" w:rsidP="0013619E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D97748">
        <w:rPr>
          <w:rFonts w:ascii="Arial" w:hAnsi="Arial" w:cs="Arial"/>
          <w:bCs/>
          <w:spacing w:val="10"/>
          <w:sz w:val="24"/>
          <w:szCs w:val="20"/>
          <w:lang w:val="en-GB"/>
        </w:rPr>
        <w:lastRenderedPageBreak/>
        <w:t>Strongest concentration among retail sectors</w:t>
      </w:r>
    </w:p>
    <w:p w:rsidR="00A446C7" w:rsidRDefault="00D97748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D97748">
        <w:rPr>
          <w:rFonts w:ascii="Arial" w:hAnsi="Arial" w:cs="Arial"/>
          <w:sz w:val="20"/>
          <w:szCs w:val="24"/>
          <w:lang w:val="en-GB"/>
        </w:rPr>
        <w:t xml:space="preserve">The top three food retailers, Spar, </w:t>
      </w:r>
      <w:r w:rsidR="00A0162D">
        <w:rPr>
          <w:rFonts w:ascii="Arial" w:hAnsi="Arial" w:cs="Arial"/>
          <w:sz w:val="20"/>
          <w:szCs w:val="24"/>
          <w:lang w:val="en-GB"/>
        </w:rPr>
        <w:t>REWE</w:t>
      </w:r>
      <w:r w:rsidRPr="00D97748">
        <w:rPr>
          <w:rFonts w:ascii="Arial" w:hAnsi="Arial" w:cs="Arial"/>
          <w:sz w:val="20"/>
          <w:szCs w:val="24"/>
          <w:lang w:val="en-GB"/>
        </w:rPr>
        <w:t>, and Hofer, together account for around 84% of the total ma</w:t>
      </w:r>
      <w:r w:rsidRPr="00D97748">
        <w:rPr>
          <w:rFonts w:ascii="Arial" w:hAnsi="Arial" w:cs="Arial"/>
          <w:sz w:val="20"/>
          <w:szCs w:val="24"/>
          <w:lang w:val="en-GB"/>
        </w:rPr>
        <w:t>r</w:t>
      </w:r>
      <w:r w:rsidRPr="00D97748">
        <w:rPr>
          <w:rFonts w:ascii="Arial" w:hAnsi="Arial" w:cs="Arial"/>
          <w:sz w:val="20"/>
          <w:szCs w:val="24"/>
          <w:lang w:val="en-GB"/>
        </w:rPr>
        <w:t>ket and thus have the highest market concentration in the industry. Including 4th and 5th place, Lidl and M-</w:t>
      </w:r>
      <w:proofErr w:type="spellStart"/>
      <w:r w:rsidRPr="00D97748">
        <w:rPr>
          <w:rFonts w:ascii="Arial" w:hAnsi="Arial" w:cs="Arial"/>
          <w:sz w:val="20"/>
          <w:szCs w:val="24"/>
          <w:lang w:val="en-GB"/>
        </w:rPr>
        <w:t>Preis</w:t>
      </w:r>
      <w:proofErr w:type="spellEnd"/>
      <w:r w:rsidRPr="00D97748">
        <w:rPr>
          <w:rFonts w:ascii="Arial" w:hAnsi="Arial" w:cs="Arial"/>
          <w:sz w:val="20"/>
          <w:szCs w:val="24"/>
          <w:lang w:val="en-GB"/>
        </w:rPr>
        <w:t xml:space="preserve">, the food retail industry has a concentration level of a whopping 95%. There is little room for </w:t>
      </w:r>
      <w:proofErr w:type="spellStart"/>
      <w:r w:rsidRPr="00D97748">
        <w:rPr>
          <w:rFonts w:ascii="Arial" w:hAnsi="Arial" w:cs="Arial"/>
          <w:sz w:val="20"/>
          <w:szCs w:val="24"/>
          <w:lang w:val="en-GB"/>
        </w:rPr>
        <w:t>maneuvering</w:t>
      </w:r>
      <w:proofErr w:type="spellEnd"/>
      <w:r w:rsidRPr="00D97748">
        <w:rPr>
          <w:rFonts w:ascii="Arial" w:hAnsi="Arial" w:cs="Arial"/>
          <w:sz w:val="20"/>
          <w:szCs w:val="24"/>
          <w:lang w:val="en-GB"/>
        </w:rPr>
        <w:t xml:space="preserve"> for the remaining market participants.</w:t>
      </w:r>
    </w:p>
    <w:p w:rsidR="00D97748" w:rsidRPr="00D97748" w:rsidRDefault="00D97748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5346CC" w:rsidRPr="005346CC" w:rsidRDefault="005346CC" w:rsidP="002930DF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5346CC">
        <w:rPr>
          <w:rFonts w:ascii="Arial" w:hAnsi="Arial" w:cs="Arial"/>
          <w:bCs/>
          <w:spacing w:val="10"/>
          <w:sz w:val="24"/>
          <w:szCs w:val="20"/>
          <w:lang w:val="en-GB"/>
        </w:rPr>
        <w:t>Spar holds the highest market share</w:t>
      </w:r>
    </w:p>
    <w:p w:rsidR="00D97748" w:rsidRDefault="00D97748" w:rsidP="00800173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D97748">
        <w:rPr>
          <w:rFonts w:ascii="Arial" w:hAnsi="Arial" w:cs="Arial"/>
          <w:sz w:val="20"/>
          <w:szCs w:val="24"/>
          <w:lang w:val="en-GB"/>
        </w:rPr>
        <w:t xml:space="preserve">With a market share of 35 %, Spar, including </w:t>
      </w:r>
      <w:proofErr w:type="spellStart"/>
      <w:r w:rsidRPr="00D97748">
        <w:rPr>
          <w:rFonts w:ascii="Arial" w:hAnsi="Arial" w:cs="Arial"/>
          <w:sz w:val="20"/>
          <w:szCs w:val="24"/>
          <w:lang w:val="en-GB"/>
        </w:rPr>
        <w:t>Eurospar</w:t>
      </w:r>
      <w:proofErr w:type="spellEnd"/>
      <w:r w:rsidRPr="00D97748">
        <w:rPr>
          <w:rFonts w:ascii="Arial" w:hAnsi="Arial" w:cs="Arial"/>
          <w:sz w:val="20"/>
          <w:szCs w:val="24"/>
          <w:lang w:val="en-GB"/>
        </w:rPr>
        <w:t xml:space="preserve">, </w:t>
      </w:r>
      <w:proofErr w:type="spellStart"/>
      <w:r w:rsidRPr="00D97748">
        <w:rPr>
          <w:rFonts w:ascii="Arial" w:hAnsi="Arial" w:cs="Arial"/>
          <w:sz w:val="20"/>
          <w:szCs w:val="24"/>
          <w:lang w:val="en-GB"/>
        </w:rPr>
        <w:t>Interspar</w:t>
      </w:r>
      <w:proofErr w:type="spellEnd"/>
      <w:r w:rsidRPr="00D97748">
        <w:rPr>
          <w:rFonts w:ascii="Arial" w:hAnsi="Arial" w:cs="Arial"/>
          <w:sz w:val="20"/>
          <w:szCs w:val="24"/>
          <w:lang w:val="en-GB"/>
        </w:rPr>
        <w:t xml:space="preserve">, and </w:t>
      </w:r>
      <w:proofErr w:type="spellStart"/>
      <w:r w:rsidRPr="00D97748">
        <w:rPr>
          <w:rFonts w:ascii="Arial" w:hAnsi="Arial" w:cs="Arial"/>
          <w:sz w:val="20"/>
          <w:szCs w:val="24"/>
          <w:lang w:val="en-GB"/>
        </w:rPr>
        <w:t>Maximarkt</w:t>
      </w:r>
      <w:proofErr w:type="spellEnd"/>
      <w:r w:rsidRPr="00D97748">
        <w:rPr>
          <w:rFonts w:ascii="Arial" w:hAnsi="Arial" w:cs="Arial"/>
          <w:sz w:val="20"/>
          <w:szCs w:val="24"/>
          <w:lang w:val="en-GB"/>
        </w:rPr>
        <w:t xml:space="preserve">, remains the number 1 food supplier. The Spar Group has thus been able to maintain its market leadership in Austria in 2022, but not to expand it significantly. A market share of 31% </w:t>
      </w:r>
      <w:r w:rsidR="00A0162D">
        <w:rPr>
          <w:rFonts w:ascii="Arial" w:hAnsi="Arial" w:cs="Arial"/>
          <w:sz w:val="20"/>
          <w:szCs w:val="24"/>
          <w:lang w:val="en-GB"/>
        </w:rPr>
        <w:t>makes</w:t>
      </w:r>
      <w:r w:rsidRPr="00D97748">
        <w:rPr>
          <w:rFonts w:ascii="Arial" w:hAnsi="Arial" w:cs="Arial"/>
          <w:sz w:val="20"/>
          <w:szCs w:val="24"/>
          <w:lang w:val="en-GB"/>
        </w:rPr>
        <w:t xml:space="preserve"> </w:t>
      </w:r>
      <w:r w:rsidR="00A0162D">
        <w:rPr>
          <w:rFonts w:ascii="Arial" w:hAnsi="Arial" w:cs="Arial"/>
          <w:sz w:val="20"/>
          <w:szCs w:val="24"/>
          <w:lang w:val="en-GB"/>
        </w:rPr>
        <w:t>REWE</w:t>
      </w:r>
      <w:r w:rsidRPr="00D97748">
        <w:rPr>
          <w:rFonts w:ascii="Arial" w:hAnsi="Arial" w:cs="Arial"/>
          <w:sz w:val="20"/>
          <w:szCs w:val="24"/>
          <w:lang w:val="en-GB"/>
        </w:rPr>
        <w:t xml:space="preserve"> second place. Overall, the two industry giants increased their sales by 4.3% in 2022. Their market share remains unchanged at 66%. Hofer is in third place with a market share of 18%.</w:t>
      </w:r>
    </w:p>
    <w:p w:rsidR="00D97748" w:rsidRPr="00D97748" w:rsidRDefault="00D97748" w:rsidP="00800173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5346CC" w:rsidRPr="005346CC" w:rsidRDefault="005346CC" w:rsidP="00FA56CC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5346CC">
        <w:rPr>
          <w:rFonts w:ascii="Arial" w:hAnsi="Arial" w:cs="Arial"/>
          <w:bCs/>
          <w:spacing w:val="10"/>
          <w:sz w:val="24"/>
          <w:szCs w:val="20"/>
          <w:lang w:val="en-GB"/>
        </w:rPr>
        <w:t>Discounters hold almost 1-third of market share</w:t>
      </w:r>
    </w:p>
    <w:p w:rsidR="00431F05" w:rsidRDefault="00D97748" w:rsidP="00FA56CC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D97748">
        <w:rPr>
          <w:rFonts w:ascii="Arial" w:hAnsi="Arial" w:cs="Arial"/>
          <w:sz w:val="20"/>
          <w:szCs w:val="24"/>
          <w:lang w:val="en-GB"/>
        </w:rPr>
        <w:t>In 2022, the big players in the discount sector, Hofer, Lidl, and Penny, recovered and recorded a sales growth of 5.7%. The market share of discounters overall is 29.0%. Hofer, the number one in the di</w:t>
      </w:r>
      <w:r w:rsidRPr="00D97748">
        <w:rPr>
          <w:rFonts w:ascii="Arial" w:hAnsi="Arial" w:cs="Arial"/>
          <w:sz w:val="20"/>
          <w:szCs w:val="24"/>
          <w:lang w:val="en-GB"/>
        </w:rPr>
        <w:t>s</w:t>
      </w:r>
      <w:r w:rsidRPr="00D97748">
        <w:rPr>
          <w:rFonts w:ascii="Arial" w:hAnsi="Arial" w:cs="Arial"/>
          <w:sz w:val="20"/>
          <w:szCs w:val="24"/>
          <w:lang w:val="en-GB"/>
        </w:rPr>
        <w:t>count sector, achieved a sales increase of 4.5% with a constant total sales area. The discounter a</w:t>
      </w:r>
      <w:r w:rsidRPr="00D97748">
        <w:rPr>
          <w:rFonts w:ascii="Arial" w:hAnsi="Arial" w:cs="Arial"/>
          <w:sz w:val="20"/>
          <w:szCs w:val="24"/>
          <w:lang w:val="en-GB"/>
        </w:rPr>
        <w:t>c</w:t>
      </w:r>
      <w:r w:rsidRPr="00D97748">
        <w:rPr>
          <w:rFonts w:ascii="Arial" w:hAnsi="Arial" w:cs="Arial"/>
          <w:sz w:val="20"/>
          <w:szCs w:val="24"/>
          <w:lang w:val="en-GB"/>
        </w:rPr>
        <w:t>counts for a proud 61.5% of the discount sales in Austria. Lidl, as the number two, with a sales share of around 24.3% in the discount sector, reduced its sales area by 1.6% in 2022 and increased sales by 6.7%. Penny expanded its sales by 9.2% with a 1.3% increase in selling space.</w:t>
      </w:r>
    </w:p>
    <w:p w:rsidR="00D97748" w:rsidRPr="00D97748" w:rsidRDefault="00D97748" w:rsidP="00FA56CC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5346CC" w:rsidRPr="00D97748" w:rsidRDefault="005346CC" w:rsidP="003E4BA5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D97748">
        <w:rPr>
          <w:rFonts w:ascii="Arial" w:hAnsi="Arial" w:cs="Arial"/>
          <w:bCs/>
          <w:spacing w:val="10"/>
          <w:sz w:val="24"/>
          <w:szCs w:val="20"/>
          <w:lang w:val="en-GB"/>
        </w:rPr>
        <w:t>Demand for alcoholic beverages declines</w:t>
      </w:r>
    </w:p>
    <w:p w:rsidR="003E4BA5" w:rsidRDefault="003317FD" w:rsidP="003E4BA5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3317FD">
        <w:rPr>
          <w:rFonts w:ascii="Arial" w:hAnsi="Arial" w:cs="Arial"/>
          <w:sz w:val="20"/>
          <w:szCs w:val="24"/>
          <w:lang w:val="en-GB"/>
        </w:rPr>
        <w:t xml:space="preserve">In the current observation year, private households have spent 4.5% more on product groups relevant to the food retail sector and now reach around €3,570 per capita per year. Products such as consumer goods, milk substitutes, butter, and cooking oil have increased significantly, while alcoholic beverages, frozen foods, and meat have declined. </w:t>
      </w:r>
      <w:r w:rsidRPr="003317FD">
        <w:rPr>
          <w:rFonts w:ascii="Arial" w:hAnsi="Arial" w:cs="Arial"/>
          <w:sz w:val="20"/>
          <w:szCs w:val="24"/>
        </w:rPr>
        <w:t xml:space="preserve">A </w:t>
      </w:r>
      <w:proofErr w:type="spellStart"/>
      <w:r w:rsidRPr="003317FD">
        <w:rPr>
          <w:rFonts w:ascii="Arial" w:hAnsi="Arial" w:cs="Arial"/>
          <w:sz w:val="20"/>
          <w:szCs w:val="24"/>
        </w:rPr>
        <w:t>clear</w:t>
      </w:r>
      <w:proofErr w:type="spellEnd"/>
      <w:r w:rsidRPr="003317F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3317FD">
        <w:rPr>
          <w:rFonts w:ascii="Arial" w:hAnsi="Arial" w:cs="Arial"/>
          <w:sz w:val="20"/>
          <w:szCs w:val="24"/>
        </w:rPr>
        <w:t>trend</w:t>
      </w:r>
      <w:proofErr w:type="spellEnd"/>
      <w:r w:rsidRPr="003317F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3317FD">
        <w:rPr>
          <w:rFonts w:ascii="Arial" w:hAnsi="Arial" w:cs="Arial"/>
          <w:sz w:val="20"/>
          <w:szCs w:val="24"/>
        </w:rPr>
        <w:t>towards</w:t>
      </w:r>
      <w:proofErr w:type="spellEnd"/>
      <w:r w:rsidRPr="003317FD">
        <w:rPr>
          <w:rFonts w:ascii="Arial" w:hAnsi="Arial" w:cs="Arial"/>
          <w:sz w:val="20"/>
          <w:szCs w:val="24"/>
        </w:rPr>
        <w:t xml:space="preserve"> a "</w:t>
      </w:r>
      <w:proofErr w:type="spellStart"/>
      <w:r w:rsidRPr="003317FD">
        <w:rPr>
          <w:rFonts w:ascii="Arial" w:hAnsi="Arial" w:cs="Arial"/>
          <w:sz w:val="20"/>
          <w:szCs w:val="24"/>
        </w:rPr>
        <w:t>healthier</w:t>
      </w:r>
      <w:proofErr w:type="spellEnd"/>
      <w:r w:rsidRPr="003317FD">
        <w:rPr>
          <w:rFonts w:ascii="Arial" w:hAnsi="Arial" w:cs="Arial"/>
          <w:sz w:val="20"/>
          <w:szCs w:val="24"/>
        </w:rPr>
        <w:t xml:space="preserve">" </w:t>
      </w:r>
      <w:proofErr w:type="spellStart"/>
      <w:r w:rsidRPr="003317FD">
        <w:rPr>
          <w:rFonts w:ascii="Arial" w:hAnsi="Arial" w:cs="Arial"/>
          <w:sz w:val="20"/>
          <w:szCs w:val="24"/>
        </w:rPr>
        <w:t>lifestyle</w:t>
      </w:r>
      <w:proofErr w:type="spellEnd"/>
      <w:r w:rsidRPr="003317F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3317FD">
        <w:rPr>
          <w:rFonts w:ascii="Arial" w:hAnsi="Arial" w:cs="Arial"/>
          <w:sz w:val="20"/>
          <w:szCs w:val="24"/>
        </w:rPr>
        <w:t>is</w:t>
      </w:r>
      <w:proofErr w:type="spellEnd"/>
      <w:r w:rsidRPr="003317FD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3317FD">
        <w:rPr>
          <w:rFonts w:ascii="Arial" w:hAnsi="Arial" w:cs="Arial"/>
          <w:sz w:val="20"/>
          <w:szCs w:val="24"/>
        </w:rPr>
        <w:t>emerging</w:t>
      </w:r>
      <w:proofErr w:type="spellEnd"/>
      <w:r w:rsidRPr="003317FD">
        <w:rPr>
          <w:rFonts w:ascii="Arial" w:hAnsi="Arial" w:cs="Arial"/>
          <w:sz w:val="20"/>
          <w:szCs w:val="24"/>
        </w:rPr>
        <w:t>.</w:t>
      </w:r>
    </w:p>
    <w:p w:rsidR="003317FD" w:rsidRDefault="003317FD" w:rsidP="003E4BA5">
      <w:pPr>
        <w:spacing w:line="360" w:lineRule="auto"/>
        <w:jc w:val="both"/>
        <w:rPr>
          <w:rFonts w:ascii="Arial" w:hAnsi="Arial" w:cs="Arial"/>
          <w:sz w:val="20"/>
          <w:szCs w:val="24"/>
        </w:rPr>
      </w:pPr>
    </w:p>
    <w:p w:rsidR="005346CC" w:rsidRPr="00A0162D" w:rsidRDefault="005346CC" w:rsidP="009C1D72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en-GB"/>
        </w:rPr>
      </w:pPr>
      <w:r w:rsidRPr="00A0162D">
        <w:rPr>
          <w:rFonts w:ascii="Arial" w:hAnsi="Arial" w:cs="Arial"/>
          <w:bCs/>
          <w:spacing w:val="10"/>
          <w:sz w:val="24"/>
          <w:szCs w:val="20"/>
          <w:lang w:val="en-GB"/>
        </w:rPr>
        <w:t>Online share remains low</w:t>
      </w:r>
    </w:p>
    <w:p w:rsidR="009C1D72" w:rsidRPr="00A0162D" w:rsidRDefault="00A0162D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  <w:r w:rsidRPr="00A0162D">
        <w:rPr>
          <w:rFonts w:ascii="Arial" w:hAnsi="Arial" w:cs="Arial"/>
          <w:sz w:val="20"/>
          <w:szCs w:val="24"/>
          <w:lang w:val="en-GB"/>
        </w:rPr>
        <w:t xml:space="preserve">Although the </w:t>
      </w:r>
      <w:proofErr w:type="spellStart"/>
      <w:r w:rsidRPr="00A0162D">
        <w:rPr>
          <w:rFonts w:ascii="Arial" w:hAnsi="Arial" w:cs="Arial"/>
          <w:sz w:val="20"/>
          <w:szCs w:val="24"/>
          <w:lang w:val="en-GB"/>
        </w:rPr>
        <w:t>Covid</w:t>
      </w:r>
      <w:proofErr w:type="spellEnd"/>
      <w:r w:rsidRPr="00A0162D">
        <w:rPr>
          <w:rFonts w:ascii="Arial" w:hAnsi="Arial" w:cs="Arial"/>
          <w:sz w:val="20"/>
          <w:szCs w:val="24"/>
          <w:lang w:val="en-GB"/>
        </w:rPr>
        <w:t xml:space="preserve"> pandemic has greatly benefited online commerce, the online share in the overall market remains relatively low despite significant investments by providers. In 2022, the online share was only 3.5%, which is relatively low compared to other industries. (This includes revenues from d</w:t>
      </w:r>
      <w:r w:rsidRPr="00A0162D">
        <w:rPr>
          <w:rFonts w:ascii="Arial" w:hAnsi="Arial" w:cs="Arial"/>
          <w:sz w:val="20"/>
          <w:szCs w:val="24"/>
          <w:lang w:val="en-GB"/>
        </w:rPr>
        <w:t>o</w:t>
      </w:r>
      <w:r w:rsidRPr="00A0162D">
        <w:rPr>
          <w:rFonts w:ascii="Arial" w:hAnsi="Arial" w:cs="Arial"/>
          <w:sz w:val="20"/>
          <w:szCs w:val="24"/>
          <w:lang w:val="en-GB"/>
        </w:rPr>
        <w:t>mestic and foreign online shops of pure players and multi-channel revenues of brick-and-mortar retai</w:t>
      </w:r>
      <w:r w:rsidRPr="00A0162D">
        <w:rPr>
          <w:rFonts w:ascii="Arial" w:hAnsi="Arial" w:cs="Arial"/>
          <w:sz w:val="20"/>
          <w:szCs w:val="24"/>
          <w:lang w:val="en-GB"/>
        </w:rPr>
        <w:t>l</w:t>
      </w:r>
      <w:r w:rsidRPr="00A0162D">
        <w:rPr>
          <w:rFonts w:ascii="Arial" w:hAnsi="Arial" w:cs="Arial"/>
          <w:sz w:val="20"/>
          <w:szCs w:val="24"/>
          <w:lang w:val="en-GB"/>
        </w:rPr>
        <w:lastRenderedPageBreak/>
        <w:t>ers.) However, it is also expected that the share of online commerce will continue to grow steadily in the future.</w:t>
      </w:r>
      <w:bookmarkStart w:id="0" w:name="_GoBack"/>
      <w:bookmarkEnd w:id="0"/>
    </w:p>
    <w:p w:rsidR="008D7C13" w:rsidRPr="00A0162D" w:rsidRDefault="008D7C13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8D7C13" w:rsidRPr="00A0162D" w:rsidRDefault="008D7C13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8D7C13" w:rsidRPr="00A0162D" w:rsidRDefault="008D7C13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087634" w:rsidRPr="00A0162D" w:rsidRDefault="00087634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087634" w:rsidRPr="00A0162D" w:rsidRDefault="00087634" w:rsidP="0013619E">
      <w:pPr>
        <w:spacing w:line="360" w:lineRule="auto"/>
        <w:jc w:val="both"/>
        <w:rPr>
          <w:rFonts w:ascii="Arial" w:hAnsi="Arial" w:cs="Arial"/>
          <w:sz w:val="20"/>
          <w:szCs w:val="24"/>
          <w:lang w:val="en-GB"/>
        </w:rPr>
      </w:pPr>
    </w:p>
    <w:p w:rsidR="0013619E" w:rsidRPr="0091677B" w:rsidRDefault="0091677B" w:rsidP="008D7C13">
      <w:pPr>
        <w:spacing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FA01AB">
        <w:rPr>
          <w:rFonts w:ascii="Arial" w:hAnsi="Arial" w:cs="Arial"/>
          <w:i/>
          <w:sz w:val="20"/>
          <w:szCs w:val="20"/>
          <w:lang w:val="en-GB"/>
        </w:rPr>
        <w:t>The study "</w:t>
      </w:r>
      <w:r>
        <w:rPr>
          <w:rFonts w:ascii="Arial" w:hAnsi="Arial" w:cs="Arial"/>
          <w:b/>
          <w:i/>
          <w:sz w:val="20"/>
          <w:szCs w:val="20"/>
          <w:lang w:val="en-GB"/>
        </w:rPr>
        <w:t>Key Industry Figures</w:t>
      </w:r>
      <w:r w:rsidRPr="00AB6371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GB"/>
        </w:rPr>
        <w:t>–</w:t>
      </w:r>
      <w:r w:rsidRPr="00AB6371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GB"/>
        </w:rPr>
        <w:t>Groceries”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 is currently available at RegioData for € </w:t>
      </w:r>
      <w:r w:rsidR="008D7C13">
        <w:rPr>
          <w:rFonts w:ascii="Arial" w:hAnsi="Arial" w:cs="Arial"/>
          <w:i/>
          <w:sz w:val="20"/>
          <w:szCs w:val="20"/>
          <w:lang w:val="en-GB"/>
        </w:rPr>
        <w:t>790</w:t>
      </w:r>
      <w:r w:rsidRPr="00FA01AB">
        <w:rPr>
          <w:rFonts w:ascii="Arial" w:hAnsi="Arial" w:cs="Arial"/>
          <w:i/>
          <w:sz w:val="20"/>
          <w:szCs w:val="20"/>
          <w:lang w:val="en-GB"/>
        </w:rPr>
        <w:t xml:space="preserve"> (plus 20% VAT). </w:t>
      </w:r>
      <w:r w:rsidRPr="00AB6371">
        <w:rPr>
          <w:rFonts w:ascii="Arial" w:hAnsi="Arial" w:cs="Arial"/>
          <w:i/>
          <w:sz w:val="20"/>
          <w:szCs w:val="20"/>
          <w:lang w:val="en-GB"/>
        </w:rPr>
        <w:t xml:space="preserve">For more information, visit </w:t>
      </w:r>
      <w:hyperlink r:id="rId10" w:history="1">
        <w:r w:rsidRPr="00AB6371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www.regiodata.eu</w:t>
        </w:r>
      </w:hyperlink>
    </w:p>
    <w:p w:rsidR="0091677B" w:rsidRPr="00F16748" w:rsidRDefault="0091677B" w:rsidP="0091677B">
      <w:pPr>
        <w:jc w:val="center"/>
        <w:rPr>
          <w:rFonts w:ascii="Arial" w:hAnsi="Arial" w:cs="Arial"/>
          <w:sz w:val="20"/>
          <w:szCs w:val="20"/>
        </w:rPr>
      </w:pPr>
      <w:r w:rsidRPr="00AB6371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Pr="00072F59">
        <w:rPr>
          <w:rFonts w:ascii="Arial" w:hAnsi="Arial" w:cs="Arial"/>
          <w:i/>
          <w:sz w:val="20"/>
          <w:szCs w:val="20"/>
          <w:lang w:val="en-GB"/>
        </w:rPr>
        <w:t xml:space="preserve">, based in Vienna and Munich, is a specialist in regional economic data for Europe. We provide decision-relevant information for the retail, real estate, and finance sectors.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Up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>-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to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-date,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precise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,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and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2C544E">
        <w:rPr>
          <w:rFonts w:ascii="Arial" w:hAnsi="Arial" w:cs="Arial"/>
          <w:i/>
          <w:sz w:val="20"/>
          <w:szCs w:val="20"/>
          <w:lang w:val="de-DE"/>
        </w:rPr>
        <w:t>reliable</w:t>
      </w:r>
      <w:proofErr w:type="spellEnd"/>
      <w:r w:rsidRPr="002C544E">
        <w:rPr>
          <w:rFonts w:ascii="Arial" w:hAnsi="Arial" w:cs="Arial"/>
          <w:i/>
          <w:sz w:val="20"/>
          <w:szCs w:val="20"/>
          <w:lang w:val="de-DE"/>
        </w:rPr>
        <w:t>.</w:t>
      </w:r>
    </w:p>
    <w:p w:rsidR="00FC2D13" w:rsidRDefault="00FC2D13"/>
    <w:sectPr w:rsidR="00FC2D1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0A" w:rsidRDefault="00D0670A">
      <w:pPr>
        <w:spacing w:after="0" w:line="240" w:lineRule="auto"/>
      </w:pPr>
      <w:r>
        <w:separator/>
      </w:r>
    </w:p>
  </w:endnote>
  <w:endnote w:type="continuationSeparator" w:id="0">
    <w:p w:rsidR="00D0670A" w:rsidRDefault="00D0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0A" w:rsidRDefault="00D0670A">
      <w:pPr>
        <w:spacing w:after="0" w:line="240" w:lineRule="auto"/>
      </w:pPr>
      <w:r>
        <w:separator/>
      </w:r>
    </w:p>
  </w:footnote>
  <w:footnote w:type="continuationSeparator" w:id="0">
    <w:p w:rsidR="00D0670A" w:rsidRDefault="00D0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586B22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7AFE9" wp14:editId="75D425E1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E1755" wp14:editId="2591F59E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91677B" w:rsidRDefault="0091677B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91677B" w:rsidRDefault="0091677B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B886ACA" wp14:editId="6B75B0A8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A016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9E"/>
    <w:rsid w:val="00087634"/>
    <w:rsid w:val="0013619E"/>
    <w:rsid w:val="001635CC"/>
    <w:rsid w:val="001B61C7"/>
    <w:rsid w:val="002239D9"/>
    <w:rsid w:val="002930DF"/>
    <w:rsid w:val="00330D7F"/>
    <w:rsid w:val="003317FD"/>
    <w:rsid w:val="003E4BA5"/>
    <w:rsid w:val="00431F05"/>
    <w:rsid w:val="00453B5F"/>
    <w:rsid w:val="004549FE"/>
    <w:rsid w:val="00496E82"/>
    <w:rsid w:val="005346CC"/>
    <w:rsid w:val="00546B36"/>
    <w:rsid w:val="00586B22"/>
    <w:rsid w:val="005E2E0B"/>
    <w:rsid w:val="005E7676"/>
    <w:rsid w:val="00613BCB"/>
    <w:rsid w:val="006551B0"/>
    <w:rsid w:val="007C24DB"/>
    <w:rsid w:val="00800173"/>
    <w:rsid w:val="00804479"/>
    <w:rsid w:val="00846932"/>
    <w:rsid w:val="008D7C13"/>
    <w:rsid w:val="0091677B"/>
    <w:rsid w:val="009C1D72"/>
    <w:rsid w:val="00A0162D"/>
    <w:rsid w:val="00A446C7"/>
    <w:rsid w:val="00B62D4C"/>
    <w:rsid w:val="00C22A6A"/>
    <w:rsid w:val="00C240CF"/>
    <w:rsid w:val="00C4195E"/>
    <w:rsid w:val="00D0670A"/>
    <w:rsid w:val="00D068DD"/>
    <w:rsid w:val="00D524BB"/>
    <w:rsid w:val="00D93407"/>
    <w:rsid w:val="00D97748"/>
    <w:rsid w:val="00E472AF"/>
    <w:rsid w:val="00E9295E"/>
    <w:rsid w:val="00EC1403"/>
    <w:rsid w:val="00F45A04"/>
    <w:rsid w:val="00FA56CC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91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77B"/>
  </w:style>
  <w:style w:type="character" w:styleId="Hyperlink">
    <w:name w:val="Hyperlink"/>
    <w:basedOn w:val="Absatz-Standardschriftart"/>
    <w:uiPriority w:val="99"/>
    <w:unhideWhenUsed/>
    <w:rsid w:val="00916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1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19E"/>
  </w:style>
  <w:style w:type="paragraph" w:styleId="Textkrper">
    <w:name w:val="Body Text"/>
    <w:basedOn w:val="Standard"/>
    <w:link w:val="TextkrperZchn"/>
    <w:semiHidden/>
    <w:rsid w:val="0013619E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3619E"/>
    <w:rPr>
      <w:rFonts w:ascii="Tahoma" w:eastAsia="Times New Roman" w:hAnsi="Tahoma" w:cs="Times New Roman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19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91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77B"/>
  </w:style>
  <w:style w:type="character" w:styleId="Hyperlink">
    <w:name w:val="Hyperlink"/>
    <w:basedOn w:val="Absatz-Standardschriftart"/>
    <w:uiPriority w:val="99"/>
    <w:unhideWhenUsed/>
    <w:rsid w:val="00916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hovic@regiodat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dat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453C-3699-4A4B-9817-304A1FA4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36</cp:revision>
  <dcterms:created xsi:type="dcterms:W3CDTF">2023-05-03T07:47:00Z</dcterms:created>
  <dcterms:modified xsi:type="dcterms:W3CDTF">2023-05-08T14:28:00Z</dcterms:modified>
</cp:coreProperties>
</file>