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6B2385E9" w:rsidR="003B0D82" w:rsidRPr="003B0D82" w:rsidRDefault="00F16748" w:rsidP="003B0D82">
      <w:pPr>
        <w:rPr>
          <w:rFonts w:ascii="Arial" w:hAnsi="Arial" w:cs="Arial"/>
          <w:b/>
          <w:bCs/>
          <w:sz w:val="20"/>
          <w:szCs w:val="20"/>
          <w:lang w:val="de-DE"/>
        </w:rPr>
      </w:pPr>
      <w:r w:rsidRPr="00F16748">
        <w:rPr>
          <w:rFonts w:ascii="Arial" w:hAnsi="Arial" w:cs="Arial"/>
          <w:bCs/>
          <w:color w:val="009ADB"/>
          <w:spacing w:val="10"/>
          <w:szCs w:val="20"/>
          <w:lang w:val="de-DE"/>
        </w:rPr>
        <w:t>PRESSEKONTAKT</w:t>
      </w:r>
      <w:r w:rsidR="006A56BD" w:rsidRPr="003B0D82">
        <w:rPr>
          <w:rFonts w:ascii="Arial" w:hAnsi="Arial" w:cs="Arial"/>
          <w:sz w:val="20"/>
          <w:szCs w:val="20"/>
          <w:lang w:val="de-DE"/>
        </w:rPr>
        <w:tab/>
      </w:r>
      <w:r w:rsidR="003B0D82">
        <w:rPr>
          <w:rFonts w:ascii="Arial" w:hAnsi="Arial" w:cs="Arial"/>
          <w:sz w:val="20"/>
          <w:szCs w:val="20"/>
          <w:lang w:val="de-DE"/>
        </w:rPr>
        <w:t xml:space="preserve">            </w:t>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t xml:space="preserve"> </w:t>
      </w:r>
      <w:r w:rsidR="003B0D82">
        <w:rPr>
          <w:rFonts w:ascii="Arial" w:hAnsi="Arial" w:cs="Arial"/>
          <w:sz w:val="20"/>
          <w:szCs w:val="20"/>
          <w:lang w:val="de-DE"/>
        </w:rPr>
        <w:tab/>
      </w:r>
      <w:r w:rsidRPr="00F16748">
        <w:rPr>
          <w:rFonts w:ascii="Arial" w:hAnsi="Arial" w:cs="Arial"/>
          <w:bCs/>
          <w:color w:val="009ADB"/>
          <w:spacing w:val="10"/>
          <w:szCs w:val="20"/>
          <w:lang w:val="de-DE"/>
        </w:rPr>
        <w:t>DATUM</w:t>
      </w:r>
      <w:r w:rsidR="003B0D82" w:rsidRPr="003B0D82">
        <w:rPr>
          <w:rFonts w:ascii="Arial" w:hAnsi="Arial" w:cs="Arial"/>
          <w:b/>
          <w:bCs/>
          <w:sz w:val="20"/>
          <w:szCs w:val="20"/>
          <w:lang w:val="de-DE"/>
        </w:rPr>
        <w:tab/>
      </w:r>
      <w:r w:rsidR="003B0D82">
        <w:rPr>
          <w:rFonts w:ascii="Arial" w:hAnsi="Arial" w:cs="Arial"/>
          <w:b/>
          <w:bCs/>
          <w:sz w:val="20"/>
          <w:szCs w:val="20"/>
          <w:lang w:val="de-DE"/>
        </w:rPr>
        <w:t xml:space="preserve"> </w:t>
      </w:r>
    </w:p>
    <w:p w14:paraId="53B8E83E" w14:textId="74442235" w:rsidR="00542ACE" w:rsidRPr="00032A18" w:rsidRDefault="00C07602" w:rsidP="000C1CE1">
      <w:pPr>
        <w:spacing w:line="276" w:lineRule="auto"/>
        <w:rPr>
          <w:rFonts w:ascii="Arial" w:hAnsi="Arial" w:cs="Arial"/>
          <w:color w:val="525556"/>
          <w:sz w:val="20"/>
          <w:szCs w:val="20"/>
          <w:lang w:val="en-GB"/>
        </w:rPr>
      </w:pPr>
      <w:proofErr w:type="gramStart"/>
      <w:r w:rsidRPr="00812314">
        <w:rPr>
          <w:rFonts w:ascii="Arial" w:hAnsi="Arial" w:cs="Arial"/>
          <w:b/>
          <w:color w:val="525556"/>
          <w:sz w:val="20"/>
          <w:szCs w:val="20"/>
          <w:lang w:val="en-GB"/>
        </w:rPr>
        <w:t>RegioData Research GmbH</w:t>
      </w:r>
      <w:r w:rsidR="00513CD5" w:rsidRPr="00812314">
        <w:rPr>
          <w:rFonts w:ascii="Arial" w:hAnsi="Arial" w:cs="Arial"/>
          <w:b/>
          <w:color w:val="525556"/>
          <w:sz w:val="20"/>
          <w:szCs w:val="20"/>
          <w:lang w:val="en-GB"/>
        </w:rPr>
        <w:t xml:space="preserve"> </w:t>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513CD5" w:rsidRPr="00812314">
        <w:rPr>
          <w:rFonts w:ascii="Arial" w:hAnsi="Arial" w:cs="Arial"/>
          <w:b/>
          <w:color w:val="525556"/>
          <w:sz w:val="20"/>
          <w:szCs w:val="20"/>
          <w:lang w:val="en-GB"/>
        </w:rPr>
        <w:tab/>
      </w:r>
      <w:r w:rsidR="0078124B">
        <w:rPr>
          <w:rFonts w:ascii="Arial" w:hAnsi="Arial" w:cs="Arial"/>
          <w:b/>
          <w:color w:val="525556"/>
          <w:sz w:val="20"/>
          <w:szCs w:val="20"/>
          <w:lang w:val="en-GB"/>
        </w:rPr>
        <w:t>1</w:t>
      </w:r>
      <w:r w:rsidR="00C212D0">
        <w:rPr>
          <w:rFonts w:ascii="Arial" w:hAnsi="Arial" w:cs="Arial"/>
          <w:b/>
          <w:color w:val="525556"/>
          <w:sz w:val="20"/>
          <w:szCs w:val="20"/>
          <w:lang w:val="en-GB"/>
        </w:rPr>
        <w:t>3</w:t>
      </w:r>
      <w:r w:rsidR="0078124B">
        <w:rPr>
          <w:rFonts w:ascii="Arial" w:hAnsi="Arial" w:cs="Arial"/>
          <w:b/>
          <w:color w:val="525556"/>
          <w:sz w:val="20"/>
          <w:szCs w:val="20"/>
          <w:lang w:val="en-GB"/>
        </w:rPr>
        <w:t>.</w:t>
      </w:r>
      <w:proofErr w:type="gramEnd"/>
      <w:r w:rsidR="00922FCD">
        <w:rPr>
          <w:rFonts w:ascii="Arial" w:hAnsi="Arial" w:cs="Arial"/>
          <w:b/>
          <w:color w:val="525556"/>
          <w:sz w:val="20"/>
          <w:szCs w:val="20"/>
          <w:lang w:val="en-GB"/>
        </w:rPr>
        <w:t xml:space="preserve"> Dezember </w:t>
      </w:r>
      <w:r w:rsidR="00513CD5" w:rsidRPr="00032A18">
        <w:rPr>
          <w:rFonts w:ascii="Arial" w:hAnsi="Arial" w:cs="Arial"/>
          <w:b/>
          <w:color w:val="525556"/>
          <w:sz w:val="20"/>
          <w:szCs w:val="20"/>
          <w:lang w:val="en-GB"/>
        </w:rPr>
        <w:t>2022</w:t>
      </w:r>
      <w:r w:rsidR="003B0D82" w:rsidRPr="00032A18">
        <w:rPr>
          <w:rFonts w:ascii="Arial" w:hAnsi="Arial" w:cs="Arial"/>
          <w:color w:val="525556"/>
          <w:sz w:val="20"/>
          <w:szCs w:val="20"/>
          <w:lang w:val="en-GB"/>
        </w:rPr>
        <w:br/>
      </w:r>
      <w:r w:rsidR="00840B82">
        <w:rPr>
          <w:rFonts w:ascii="Arial" w:hAnsi="Arial" w:cs="Arial"/>
          <w:color w:val="525556"/>
          <w:sz w:val="20"/>
          <w:szCs w:val="20"/>
          <w:lang w:val="en-GB"/>
        </w:rPr>
        <w:t>Amela Salihovic, M.A</w:t>
      </w:r>
      <w:proofErr w:type="gramStart"/>
      <w:r w:rsidR="00840B82">
        <w:rPr>
          <w:rFonts w:ascii="Arial" w:hAnsi="Arial" w:cs="Arial"/>
          <w:color w:val="525556"/>
          <w:sz w:val="20"/>
          <w:szCs w:val="20"/>
          <w:lang w:val="en-GB"/>
        </w:rPr>
        <w:t>.</w:t>
      </w:r>
      <w:proofErr w:type="gramEnd"/>
      <w:r w:rsidR="00812314" w:rsidRPr="00032A18">
        <w:rPr>
          <w:rFonts w:ascii="Arial" w:hAnsi="Arial" w:cs="Arial"/>
          <w:color w:val="525556"/>
          <w:sz w:val="20"/>
          <w:szCs w:val="20"/>
          <w:lang w:val="en-GB"/>
        </w:rPr>
        <w:br/>
      </w:r>
      <w:r w:rsidR="000C1CE1" w:rsidRPr="00032A18">
        <w:rPr>
          <w:rFonts w:ascii="Arial" w:hAnsi="Arial" w:cs="Arial"/>
          <w:color w:val="525556"/>
          <w:sz w:val="20"/>
          <w:szCs w:val="20"/>
          <w:lang w:val="en-GB"/>
        </w:rPr>
        <w:t xml:space="preserve">Theobaldgasse 8 | </w:t>
      </w:r>
      <w:r w:rsidRPr="00032A18">
        <w:rPr>
          <w:rFonts w:ascii="Arial" w:hAnsi="Arial" w:cs="Arial"/>
          <w:color w:val="525556"/>
          <w:sz w:val="20"/>
          <w:szCs w:val="20"/>
          <w:lang w:val="en-GB"/>
        </w:rPr>
        <w:t>1060 Wien</w:t>
      </w:r>
      <w:r w:rsidRPr="00032A18">
        <w:rPr>
          <w:rFonts w:ascii="Arial" w:hAnsi="Arial" w:cs="Arial"/>
          <w:color w:val="525556"/>
          <w:sz w:val="20"/>
          <w:szCs w:val="20"/>
          <w:lang w:val="en-GB"/>
        </w:rPr>
        <w:br/>
        <w:t>+43 1 585 76 27</w:t>
      </w:r>
      <w:r w:rsidR="00A35CAA">
        <w:rPr>
          <w:rFonts w:ascii="Arial" w:hAnsi="Arial" w:cs="Arial"/>
          <w:color w:val="525556"/>
          <w:sz w:val="20"/>
          <w:szCs w:val="20"/>
          <w:lang w:val="en-GB"/>
        </w:rPr>
        <w:t>-50</w:t>
      </w:r>
      <w:bookmarkStart w:id="0" w:name="_GoBack"/>
      <w:bookmarkEnd w:id="0"/>
      <w:r w:rsidR="003B0D82" w:rsidRPr="00032A18">
        <w:rPr>
          <w:rFonts w:ascii="Arial" w:hAnsi="Arial" w:cs="Arial"/>
          <w:color w:val="525556"/>
          <w:sz w:val="20"/>
          <w:szCs w:val="20"/>
          <w:lang w:val="en-GB"/>
        </w:rPr>
        <w:br/>
      </w:r>
      <w:hyperlink r:id="rId9" w:history="1">
        <w:r w:rsidR="00812314" w:rsidRPr="00032A18">
          <w:rPr>
            <w:rFonts w:ascii="Arial" w:hAnsi="Arial" w:cs="Arial"/>
            <w:color w:val="525556"/>
            <w:sz w:val="20"/>
            <w:lang w:val="en-GB"/>
          </w:rPr>
          <w:t>a.salihovic@regiodata.eu</w:t>
        </w:r>
      </w:hyperlink>
      <w:r w:rsidR="003B0D82" w:rsidRPr="00032A18">
        <w:rPr>
          <w:rFonts w:ascii="Arial" w:hAnsi="Arial" w:cs="Arial"/>
          <w:color w:val="525556"/>
          <w:sz w:val="20"/>
          <w:szCs w:val="20"/>
          <w:lang w:val="en-GB"/>
        </w:rPr>
        <w:br/>
      </w:r>
      <w:r w:rsidR="00BC778D" w:rsidRPr="00032A18">
        <w:rPr>
          <w:rFonts w:ascii="Arial" w:hAnsi="Arial" w:cs="Arial"/>
          <w:color w:val="525556"/>
          <w:sz w:val="20"/>
          <w:szCs w:val="20"/>
          <w:lang w:val="en-GB"/>
        </w:rPr>
        <w:t>www.regiodata.eu</w:t>
      </w:r>
    </w:p>
    <w:p w14:paraId="1CBE0E32" w14:textId="77777777" w:rsidR="009D2B7C" w:rsidRPr="00032A18" w:rsidRDefault="009D2B7C">
      <w:pPr>
        <w:rPr>
          <w:rFonts w:ascii="Arial" w:hAnsi="Arial" w:cs="Arial"/>
          <w:sz w:val="20"/>
          <w:szCs w:val="20"/>
          <w:lang w:val="en-GB"/>
        </w:rPr>
      </w:pPr>
    </w:p>
    <w:p w14:paraId="79898555" w14:textId="77777777" w:rsidR="009D2B7C" w:rsidRPr="00032A18" w:rsidRDefault="009D2B7C" w:rsidP="00807249">
      <w:pPr>
        <w:jc w:val="both"/>
        <w:rPr>
          <w:rFonts w:ascii="Arial" w:hAnsi="Arial" w:cs="Arial"/>
          <w:sz w:val="20"/>
          <w:szCs w:val="20"/>
          <w:lang w:val="en-GB"/>
        </w:rPr>
      </w:pPr>
    </w:p>
    <w:p w14:paraId="058A5EE1" w14:textId="2CA845A7" w:rsidR="00922FCD" w:rsidRPr="00922FCD" w:rsidRDefault="00812314" w:rsidP="00922FCD">
      <w:pPr>
        <w:spacing w:line="360" w:lineRule="auto"/>
        <w:jc w:val="both"/>
        <w:rPr>
          <w:rFonts w:ascii="Arial" w:hAnsi="Arial" w:cs="Arial"/>
          <w:bCs/>
          <w:color w:val="009ADB"/>
          <w:spacing w:val="10"/>
          <w:sz w:val="24"/>
          <w:szCs w:val="20"/>
        </w:rPr>
      </w:pPr>
      <w:r w:rsidRPr="00812314">
        <w:rPr>
          <w:rFonts w:ascii="Arial" w:hAnsi="Arial" w:cs="Arial"/>
          <w:bCs/>
          <w:color w:val="009ADB"/>
          <w:spacing w:val="10"/>
          <w:sz w:val="24"/>
          <w:szCs w:val="20"/>
          <w:lang w:val="de-DE"/>
        </w:rPr>
        <w:t>REGIODATA-ANA</w:t>
      </w:r>
      <w:r w:rsidR="00BE1385">
        <w:rPr>
          <w:rFonts w:ascii="Arial" w:hAnsi="Arial" w:cs="Arial"/>
          <w:bCs/>
          <w:color w:val="009ADB"/>
          <w:spacing w:val="10"/>
          <w:sz w:val="24"/>
          <w:szCs w:val="20"/>
          <w:lang w:val="de-DE"/>
        </w:rPr>
        <w:t xml:space="preserve">LYSE: </w:t>
      </w:r>
      <w:r w:rsidR="00922FCD" w:rsidRPr="00922FCD">
        <w:rPr>
          <w:rFonts w:ascii="Arial" w:hAnsi="Arial" w:cs="Arial"/>
          <w:bCs/>
          <w:color w:val="009ADB"/>
          <w:spacing w:val="10"/>
          <w:sz w:val="24"/>
          <w:szCs w:val="20"/>
        </w:rPr>
        <w:t>KAUFKRAFTVERLUST – LICHT AM ENDE DES TUNNELS?</w:t>
      </w:r>
    </w:p>
    <w:p w14:paraId="381C79E6" w14:textId="7B30B740" w:rsidR="00772745" w:rsidRDefault="00004CA0" w:rsidP="00807249">
      <w:pPr>
        <w:spacing w:line="360" w:lineRule="auto"/>
        <w:jc w:val="both"/>
        <w:rPr>
          <w:rFonts w:ascii="Arial" w:hAnsi="Arial" w:cs="Arial"/>
          <w:b/>
          <w:bCs/>
          <w:sz w:val="20"/>
          <w:szCs w:val="20"/>
          <w:lang w:val="de-DE"/>
        </w:rPr>
      </w:pPr>
      <w:r>
        <w:rPr>
          <w:rFonts w:ascii="Arial" w:hAnsi="Arial" w:cs="Arial"/>
          <w:b/>
          <w:bCs/>
          <w:sz w:val="20"/>
          <w:szCs w:val="20"/>
          <w:lang w:val="de-DE"/>
        </w:rPr>
        <w:t>Die Kaufkraft-Achterbahn nimmt wieder Fahr</w:t>
      </w:r>
      <w:r w:rsidR="00781B5C">
        <w:rPr>
          <w:rFonts w:ascii="Arial" w:hAnsi="Arial" w:cs="Arial"/>
          <w:b/>
          <w:bCs/>
          <w:sz w:val="20"/>
          <w:szCs w:val="20"/>
          <w:lang w:val="de-DE"/>
        </w:rPr>
        <w:t>t</w:t>
      </w:r>
      <w:r>
        <w:rPr>
          <w:rFonts w:ascii="Arial" w:hAnsi="Arial" w:cs="Arial"/>
          <w:b/>
          <w:bCs/>
          <w:sz w:val="20"/>
          <w:szCs w:val="20"/>
          <w:lang w:val="de-DE"/>
        </w:rPr>
        <w:t xml:space="preserve"> auf:</w:t>
      </w:r>
      <w:r w:rsidRPr="00004CA0">
        <w:rPr>
          <w:rFonts w:ascii="Arial" w:hAnsi="Arial" w:cs="Arial"/>
          <w:b/>
          <w:bCs/>
          <w:sz w:val="20"/>
          <w:szCs w:val="20"/>
          <w:lang w:val="de-DE"/>
        </w:rPr>
        <w:t xml:space="preserve"> </w:t>
      </w:r>
      <w:r w:rsidR="00B704B3">
        <w:rPr>
          <w:rFonts w:ascii="Arial" w:hAnsi="Arial" w:cs="Arial"/>
          <w:b/>
          <w:bCs/>
          <w:sz w:val="20"/>
          <w:szCs w:val="20"/>
          <w:lang w:val="de-DE"/>
        </w:rPr>
        <w:t xml:space="preserve">Nachdem </w:t>
      </w:r>
      <w:r w:rsidR="00136611">
        <w:rPr>
          <w:rFonts w:ascii="Arial" w:hAnsi="Arial" w:cs="Arial"/>
          <w:b/>
          <w:bCs/>
          <w:sz w:val="20"/>
          <w:szCs w:val="20"/>
          <w:lang w:val="de-DE"/>
        </w:rPr>
        <w:t>sich die</w:t>
      </w:r>
      <w:r w:rsidR="00B704B3">
        <w:rPr>
          <w:rFonts w:ascii="Arial" w:hAnsi="Arial" w:cs="Arial"/>
          <w:b/>
          <w:bCs/>
          <w:sz w:val="20"/>
          <w:szCs w:val="20"/>
          <w:lang w:val="de-DE"/>
        </w:rPr>
        <w:t xml:space="preserve"> österreichische Kaufkraft </w:t>
      </w:r>
      <w:r w:rsidRPr="00004CA0">
        <w:rPr>
          <w:rFonts w:ascii="Arial" w:hAnsi="Arial" w:cs="Arial"/>
          <w:b/>
          <w:bCs/>
          <w:sz w:val="20"/>
          <w:szCs w:val="20"/>
          <w:lang w:val="de-DE"/>
        </w:rPr>
        <w:t>2021 erst</w:t>
      </w:r>
      <w:r>
        <w:rPr>
          <w:rFonts w:ascii="Arial" w:hAnsi="Arial" w:cs="Arial"/>
          <w:b/>
          <w:bCs/>
          <w:sz w:val="20"/>
          <w:szCs w:val="20"/>
          <w:lang w:val="de-DE"/>
        </w:rPr>
        <w:t xml:space="preserve">mals wieder </w:t>
      </w:r>
      <w:r w:rsidR="00077446">
        <w:rPr>
          <w:rFonts w:ascii="Arial" w:hAnsi="Arial" w:cs="Arial"/>
          <w:b/>
          <w:bCs/>
          <w:sz w:val="20"/>
          <w:szCs w:val="20"/>
          <w:lang w:val="de-DE"/>
        </w:rPr>
        <w:t xml:space="preserve">etwas </w:t>
      </w:r>
      <w:r w:rsidR="009B2A55">
        <w:rPr>
          <w:rFonts w:ascii="Arial" w:hAnsi="Arial" w:cs="Arial"/>
          <w:b/>
          <w:bCs/>
          <w:sz w:val="20"/>
          <w:szCs w:val="20"/>
          <w:lang w:val="de-DE"/>
        </w:rPr>
        <w:t>konsolidiert</w:t>
      </w:r>
      <w:r w:rsidR="00B704B3">
        <w:rPr>
          <w:rFonts w:ascii="Arial" w:hAnsi="Arial" w:cs="Arial"/>
          <w:b/>
          <w:bCs/>
          <w:sz w:val="20"/>
          <w:szCs w:val="20"/>
          <w:lang w:val="de-DE"/>
        </w:rPr>
        <w:t xml:space="preserve"> hat</w:t>
      </w:r>
      <w:r>
        <w:rPr>
          <w:rFonts w:ascii="Arial" w:hAnsi="Arial" w:cs="Arial"/>
          <w:b/>
          <w:bCs/>
          <w:sz w:val="20"/>
          <w:szCs w:val="20"/>
          <w:lang w:val="de-DE"/>
        </w:rPr>
        <w:t>, nur um im darauffolgenden Jahr ein neues Tief zu errei</w:t>
      </w:r>
      <w:r w:rsidR="00B704B3">
        <w:rPr>
          <w:rFonts w:ascii="Arial" w:hAnsi="Arial" w:cs="Arial"/>
          <w:b/>
          <w:bCs/>
          <w:sz w:val="20"/>
          <w:szCs w:val="20"/>
          <w:lang w:val="de-DE"/>
        </w:rPr>
        <w:t xml:space="preserve">chen, kann für das Jahr 2023 </w:t>
      </w:r>
      <w:r w:rsidR="009B56A8">
        <w:rPr>
          <w:rFonts w:ascii="Arial" w:hAnsi="Arial" w:cs="Arial"/>
          <w:b/>
          <w:bCs/>
          <w:sz w:val="20"/>
          <w:szCs w:val="20"/>
          <w:lang w:val="de-DE"/>
        </w:rPr>
        <w:t>sogar</w:t>
      </w:r>
      <w:r w:rsidR="00781B5C">
        <w:rPr>
          <w:rFonts w:ascii="Arial" w:hAnsi="Arial" w:cs="Arial"/>
          <w:b/>
          <w:bCs/>
          <w:sz w:val="20"/>
          <w:szCs w:val="20"/>
          <w:lang w:val="de-DE"/>
        </w:rPr>
        <w:t xml:space="preserve"> </w:t>
      </w:r>
      <w:r w:rsidR="00B704B3">
        <w:rPr>
          <w:rFonts w:ascii="Arial" w:hAnsi="Arial" w:cs="Arial"/>
          <w:b/>
          <w:bCs/>
          <w:sz w:val="20"/>
          <w:szCs w:val="20"/>
          <w:lang w:val="de-DE"/>
        </w:rPr>
        <w:t>wieder ein Anstieg erwartet werden.</w:t>
      </w:r>
    </w:p>
    <w:p w14:paraId="5CD98CDD" w14:textId="20D437CC" w:rsidR="00807249" w:rsidRDefault="0001432A" w:rsidP="00807249">
      <w:pPr>
        <w:spacing w:line="360" w:lineRule="auto"/>
        <w:jc w:val="both"/>
        <w:rPr>
          <w:rFonts w:ascii="Arial" w:hAnsi="Arial" w:cs="Arial"/>
          <w:b/>
          <w:bCs/>
          <w:sz w:val="20"/>
          <w:szCs w:val="20"/>
          <w:lang w:val="de-DE"/>
        </w:rPr>
      </w:pPr>
      <w:r w:rsidRPr="00A719EC">
        <w:rPr>
          <w:rFonts w:ascii="Tahoma" w:eastAsia="Times New Roman" w:hAnsi="Tahoma" w:cs="Tahoma"/>
          <w:bCs/>
          <w:noProof/>
          <w:szCs w:val="24"/>
          <w:lang w:eastAsia="de-AT"/>
        </w:rPr>
        <w:drawing>
          <wp:inline distT="0" distB="0" distL="0" distR="0" wp14:anchorId="1B90605C" wp14:editId="29B58D28">
            <wp:extent cx="5759450" cy="3152080"/>
            <wp:effectExtent l="19050" t="19050" r="12700" b="1079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450" cy="3152080"/>
                    </a:xfrm>
                    <a:prstGeom prst="rect">
                      <a:avLst/>
                    </a:prstGeom>
                    <a:ln>
                      <a:solidFill>
                        <a:schemeClr val="bg1">
                          <a:lumMod val="85000"/>
                        </a:schemeClr>
                      </a:solidFill>
                    </a:ln>
                  </pic:spPr>
                </pic:pic>
              </a:graphicData>
            </a:graphic>
          </wp:inline>
        </w:drawing>
      </w:r>
    </w:p>
    <w:p w14:paraId="086D44B6" w14:textId="77777777" w:rsidR="00472EF0" w:rsidRDefault="00472EF0" w:rsidP="00807249">
      <w:pPr>
        <w:spacing w:line="360" w:lineRule="auto"/>
        <w:jc w:val="both"/>
        <w:rPr>
          <w:rFonts w:ascii="Arial" w:hAnsi="Arial" w:cs="Arial"/>
          <w:b/>
          <w:bCs/>
          <w:sz w:val="20"/>
          <w:szCs w:val="20"/>
          <w:lang w:val="de-DE"/>
        </w:rPr>
      </w:pPr>
    </w:p>
    <w:p w14:paraId="71AE2B72" w14:textId="5EAB0CC1" w:rsidR="00812314" w:rsidRDefault="00472EF0" w:rsidP="00922FCD">
      <w:pPr>
        <w:tabs>
          <w:tab w:val="right" w:pos="9070"/>
        </w:tabs>
        <w:spacing w:line="360" w:lineRule="auto"/>
        <w:jc w:val="both"/>
        <w:rPr>
          <w:rFonts w:ascii="Arial" w:hAnsi="Arial" w:cs="Arial"/>
          <w:bCs/>
          <w:spacing w:val="10"/>
          <w:sz w:val="24"/>
          <w:szCs w:val="20"/>
          <w:lang w:val="de-DE"/>
        </w:rPr>
      </w:pPr>
      <w:r>
        <w:rPr>
          <w:rFonts w:ascii="Arial" w:hAnsi="Arial" w:cs="Arial"/>
          <w:bCs/>
          <w:spacing w:val="10"/>
          <w:sz w:val="24"/>
          <w:szCs w:val="20"/>
          <w:lang w:val="de-DE"/>
        </w:rPr>
        <w:t xml:space="preserve">Neuer </w:t>
      </w:r>
      <w:r w:rsidR="0001600B">
        <w:rPr>
          <w:rFonts w:ascii="Arial" w:hAnsi="Arial" w:cs="Arial"/>
          <w:bCs/>
          <w:spacing w:val="10"/>
          <w:sz w:val="24"/>
          <w:szCs w:val="20"/>
          <w:lang w:val="de-DE"/>
        </w:rPr>
        <w:t xml:space="preserve">heimischer </w:t>
      </w:r>
      <w:r>
        <w:rPr>
          <w:rFonts w:ascii="Arial" w:hAnsi="Arial" w:cs="Arial"/>
          <w:bCs/>
          <w:spacing w:val="10"/>
          <w:sz w:val="24"/>
          <w:szCs w:val="20"/>
          <w:lang w:val="de-DE"/>
        </w:rPr>
        <w:t>Rekord beim Kaufkraft-Minus</w:t>
      </w:r>
    </w:p>
    <w:p w14:paraId="73E3545D" w14:textId="115AD154" w:rsidR="00F6386E" w:rsidRDefault="00772745" w:rsidP="00751A66">
      <w:pPr>
        <w:spacing w:before="120" w:after="0" w:line="360" w:lineRule="auto"/>
        <w:jc w:val="both"/>
        <w:rPr>
          <w:rFonts w:ascii="Arial" w:hAnsi="Arial" w:cs="Arial"/>
          <w:sz w:val="20"/>
          <w:szCs w:val="20"/>
          <w:lang w:val="de-DE"/>
        </w:rPr>
      </w:pPr>
      <w:r w:rsidRPr="00772745">
        <w:rPr>
          <w:rFonts w:ascii="Arial" w:hAnsi="Arial" w:cs="Arial"/>
          <w:sz w:val="20"/>
          <w:szCs w:val="20"/>
          <w:lang w:val="de-DE"/>
        </w:rPr>
        <w:t>2021 verfügten die Österreicher über eine durchschnittliche Kaufkraft von € 23.191 pro Kopf und Jahr.</w:t>
      </w:r>
      <w:r w:rsidR="00751A66">
        <w:rPr>
          <w:rFonts w:ascii="Arial" w:hAnsi="Arial" w:cs="Arial"/>
          <w:sz w:val="20"/>
          <w:szCs w:val="20"/>
          <w:lang w:val="de-DE"/>
        </w:rPr>
        <w:t xml:space="preserve"> Real entspricht das einem Vorjahres-Plus von </w:t>
      </w:r>
      <w:r w:rsidR="00751A66" w:rsidRPr="00751A66">
        <w:rPr>
          <w:rFonts w:ascii="Arial" w:hAnsi="Arial" w:cs="Arial"/>
          <w:sz w:val="20"/>
          <w:szCs w:val="20"/>
          <w:lang w:val="de-DE"/>
        </w:rPr>
        <w:t>1,2 %</w:t>
      </w:r>
      <w:r w:rsidR="00751A66">
        <w:rPr>
          <w:rFonts w:ascii="Arial" w:hAnsi="Arial" w:cs="Arial"/>
          <w:sz w:val="20"/>
          <w:szCs w:val="20"/>
          <w:lang w:val="de-DE"/>
        </w:rPr>
        <w:t xml:space="preserve">. </w:t>
      </w:r>
      <w:r w:rsidR="00751A66" w:rsidRPr="00D940FF">
        <w:rPr>
          <w:rFonts w:ascii="Arial" w:hAnsi="Arial" w:cs="Arial"/>
          <w:sz w:val="20"/>
          <w:szCs w:val="20"/>
          <w:lang w:val="de-DE"/>
        </w:rPr>
        <w:t xml:space="preserve">Doch </w:t>
      </w:r>
      <w:r w:rsidR="009D0E8A">
        <w:rPr>
          <w:rFonts w:ascii="Arial" w:hAnsi="Arial" w:cs="Arial"/>
          <w:sz w:val="20"/>
          <w:szCs w:val="20"/>
          <w:lang w:val="de-DE"/>
        </w:rPr>
        <w:t>dabei</w:t>
      </w:r>
      <w:r w:rsidR="00751A66" w:rsidRPr="00D940FF">
        <w:rPr>
          <w:rFonts w:ascii="Arial" w:hAnsi="Arial" w:cs="Arial"/>
          <w:sz w:val="20"/>
          <w:szCs w:val="20"/>
          <w:lang w:val="de-DE"/>
        </w:rPr>
        <w:t xml:space="preserve"> sollte</w:t>
      </w:r>
      <w:r w:rsidR="009D0E8A">
        <w:rPr>
          <w:rFonts w:ascii="Arial" w:hAnsi="Arial" w:cs="Arial"/>
          <w:sz w:val="20"/>
          <w:szCs w:val="20"/>
          <w:lang w:val="de-DE"/>
        </w:rPr>
        <w:t xml:space="preserve"> es</w:t>
      </w:r>
      <w:r w:rsidR="00751A66" w:rsidRPr="00D940FF">
        <w:rPr>
          <w:rFonts w:ascii="Arial" w:hAnsi="Arial" w:cs="Arial"/>
          <w:sz w:val="20"/>
          <w:szCs w:val="20"/>
          <w:lang w:val="de-DE"/>
        </w:rPr>
        <w:t xml:space="preserve"> </w:t>
      </w:r>
      <w:r w:rsidR="00F6386E">
        <w:rPr>
          <w:rFonts w:ascii="Arial" w:hAnsi="Arial" w:cs="Arial"/>
          <w:sz w:val="20"/>
          <w:szCs w:val="20"/>
          <w:lang w:val="de-DE"/>
        </w:rPr>
        <w:t>nicht bleiben</w:t>
      </w:r>
      <w:r w:rsidR="00751A66" w:rsidRPr="00D940FF">
        <w:rPr>
          <w:rFonts w:ascii="Arial" w:hAnsi="Arial" w:cs="Arial"/>
          <w:sz w:val="20"/>
          <w:szCs w:val="20"/>
          <w:lang w:val="de-DE"/>
        </w:rPr>
        <w:t>: Nach einem Jahr d</w:t>
      </w:r>
      <w:r w:rsidR="00751A66">
        <w:rPr>
          <w:rFonts w:ascii="Arial" w:hAnsi="Arial" w:cs="Arial"/>
          <w:sz w:val="20"/>
          <w:szCs w:val="20"/>
          <w:lang w:val="de-DE"/>
        </w:rPr>
        <w:t xml:space="preserve">er sanften Kaufkraftsteigerung </w:t>
      </w:r>
      <w:r w:rsidR="00751A66" w:rsidRPr="00D940FF">
        <w:rPr>
          <w:rFonts w:ascii="Arial" w:hAnsi="Arial" w:cs="Arial"/>
          <w:sz w:val="20"/>
          <w:szCs w:val="20"/>
          <w:lang w:val="de-DE"/>
        </w:rPr>
        <w:t>2021</w:t>
      </w:r>
      <w:r w:rsidR="00F6386E">
        <w:rPr>
          <w:rFonts w:ascii="Arial" w:hAnsi="Arial" w:cs="Arial"/>
          <w:sz w:val="20"/>
          <w:szCs w:val="20"/>
          <w:lang w:val="de-DE"/>
        </w:rPr>
        <w:t xml:space="preserve"> überfiel Russland sein Nachbarland und hat Europa damit der Energieknappheit </w:t>
      </w:r>
      <w:r w:rsidR="00472EF0">
        <w:rPr>
          <w:rFonts w:ascii="Arial" w:hAnsi="Arial" w:cs="Arial"/>
          <w:sz w:val="20"/>
          <w:szCs w:val="20"/>
          <w:lang w:val="de-DE"/>
        </w:rPr>
        <w:t>ausgesetzt</w:t>
      </w:r>
      <w:r w:rsidR="00F6386E">
        <w:rPr>
          <w:rFonts w:ascii="Arial" w:hAnsi="Arial" w:cs="Arial"/>
          <w:sz w:val="20"/>
          <w:szCs w:val="20"/>
          <w:lang w:val="de-DE"/>
        </w:rPr>
        <w:t xml:space="preserve">. </w:t>
      </w:r>
    </w:p>
    <w:p w14:paraId="0B4E960E" w14:textId="6A29166F" w:rsidR="00772745" w:rsidRDefault="00704B66" w:rsidP="00922FCD">
      <w:pPr>
        <w:spacing w:before="120" w:after="0" w:line="360" w:lineRule="auto"/>
        <w:jc w:val="both"/>
        <w:rPr>
          <w:rFonts w:ascii="Arial" w:hAnsi="Arial" w:cs="Arial"/>
          <w:sz w:val="20"/>
          <w:szCs w:val="20"/>
          <w:lang w:val="de-DE"/>
        </w:rPr>
      </w:pPr>
      <w:r>
        <w:rPr>
          <w:rFonts w:ascii="Arial" w:hAnsi="Arial" w:cs="Arial"/>
          <w:sz w:val="20"/>
          <w:szCs w:val="20"/>
          <w:lang w:val="de-DE"/>
        </w:rPr>
        <w:lastRenderedPageBreak/>
        <w:t>Die Folge war ein massives A</w:t>
      </w:r>
      <w:r w:rsidR="00751A66" w:rsidRPr="00D940FF">
        <w:rPr>
          <w:rFonts w:ascii="Arial" w:hAnsi="Arial" w:cs="Arial"/>
          <w:sz w:val="20"/>
          <w:szCs w:val="20"/>
          <w:lang w:val="de-DE"/>
        </w:rPr>
        <w:t>nsteigen der Inflation</w:t>
      </w:r>
      <w:r w:rsidR="00751A66">
        <w:rPr>
          <w:rFonts w:ascii="Arial" w:hAnsi="Arial" w:cs="Arial"/>
          <w:sz w:val="20"/>
          <w:szCs w:val="20"/>
          <w:lang w:val="de-DE"/>
        </w:rPr>
        <w:t xml:space="preserve">, auch in Österreich, </w:t>
      </w:r>
      <w:r w:rsidR="00751A66" w:rsidRPr="00D940FF">
        <w:rPr>
          <w:rFonts w:ascii="Arial" w:hAnsi="Arial" w:cs="Arial"/>
          <w:sz w:val="20"/>
          <w:szCs w:val="20"/>
          <w:lang w:val="de-DE"/>
        </w:rPr>
        <w:t>und damit der reale Kaufkraf</w:t>
      </w:r>
      <w:r w:rsidR="00751A66" w:rsidRPr="00D940FF">
        <w:rPr>
          <w:rFonts w:ascii="Arial" w:hAnsi="Arial" w:cs="Arial"/>
          <w:sz w:val="20"/>
          <w:szCs w:val="20"/>
          <w:lang w:val="de-DE"/>
        </w:rPr>
        <w:t>t</w:t>
      </w:r>
      <w:r w:rsidR="00751A66" w:rsidRPr="00D940FF">
        <w:rPr>
          <w:rFonts w:ascii="Arial" w:hAnsi="Arial" w:cs="Arial"/>
          <w:sz w:val="20"/>
          <w:szCs w:val="20"/>
          <w:lang w:val="de-DE"/>
        </w:rPr>
        <w:t>verlust von vermutlich durchschnittlich 3,9 % - ein Spitzenwert, der in Österreich schon viele Jah</w:t>
      </w:r>
      <w:r w:rsidR="00751A66" w:rsidRPr="00D940FF">
        <w:rPr>
          <w:rFonts w:ascii="Arial" w:hAnsi="Arial" w:cs="Arial"/>
          <w:sz w:val="20"/>
          <w:szCs w:val="20"/>
          <w:lang w:val="de-DE"/>
        </w:rPr>
        <w:t>r</w:t>
      </w:r>
      <w:r w:rsidR="00751A66" w:rsidRPr="00D940FF">
        <w:rPr>
          <w:rFonts w:ascii="Arial" w:hAnsi="Arial" w:cs="Arial"/>
          <w:sz w:val="20"/>
          <w:szCs w:val="20"/>
          <w:lang w:val="de-DE"/>
        </w:rPr>
        <w:t>zehnte nicht erreicht wurde.</w:t>
      </w:r>
      <w:r w:rsidR="00751A66" w:rsidRPr="0001432A">
        <w:rPr>
          <w:rFonts w:ascii="Arial" w:hAnsi="Arial" w:cs="Arial"/>
          <w:sz w:val="20"/>
          <w:szCs w:val="20"/>
          <w:lang w:val="de-DE"/>
        </w:rPr>
        <w:t xml:space="preserve"> </w:t>
      </w:r>
    </w:p>
    <w:p w14:paraId="5CB096B8" w14:textId="454E9EF4" w:rsidR="00922FCD" w:rsidRDefault="00922FCD" w:rsidP="00922FCD">
      <w:pPr>
        <w:spacing w:before="120" w:after="0" w:line="360" w:lineRule="auto"/>
        <w:jc w:val="both"/>
        <w:rPr>
          <w:rFonts w:ascii="Arial" w:hAnsi="Arial" w:cs="Arial"/>
          <w:sz w:val="20"/>
          <w:szCs w:val="20"/>
          <w:lang w:val="de-DE"/>
        </w:rPr>
      </w:pPr>
      <w:r w:rsidRPr="00922FCD">
        <w:rPr>
          <w:rFonts w:ascii="Arial" w:hAnsi="Arial" w:cs="Arial"/>
          <w:sz w:val="20"/>
          <w:szCs w:val="20"/>
          <w:lang w:val="de-DE"/>
        </w:rPr>
        <w:t xml:space="preserve">(Die „Kaufkraft“ ist definiert als die Summe </w:t>
      </w:r>
      <w:r w:rsidRPr="00077446">
        <w:rPr>
          <w:rFonts w:ascii="Arial" w:hAnsi="Arial" w:cs="Arial"/>
          <w:sz w:val="20"/>
          <w:szCs w:val="20"/>
          <w:u w:val="single"/>
          <w:lang w:val="de-DE"/>
        </w:rPr>
        <w:t>aller</w:t>
      </w:r>
      <w:r w:rsidRPr="00922FCD">
        <w:rPr>
          <w:rFonts w:ascii="Arial" w:hAnsi="Arial" w:cs="Arial"/>
          <w:sz w:val="20"/>
          <w:szCs w:val="20"/>
          <w:lang w:val="de-DE"/>
        </w:rPr>
        <w:t xml:space="preserve"> Einkunftsarten, also unselbständige Einkommen, selbständige Einkommen, Kapitalvermögen, Vermietung, Landwirtschaft, Pensionen, Transferzahlu</w:t>
      </w:r>
      <w:r w:rsidRPr="00922FCD">
        <w:rPr>
          <w:rFonts w:ascii="Arial" w:hAnsi="Arial" w:cs="Arial"/>
          <w:sz w:val="20"/>
          <w:szCs w:val="20"/>
          <w:lang w:val="de-DE"/>
        </w:rPr>
        <w:t>n</w:t>
      </w:r>
      <w:r w:rsidRPr="00922FCD">
        <w:rPr>
          <w:rFonts w:ascii="Arial" w:hAnsi="Arial" w:cs="Arial"/>
          <w:sz w:val="20"/>
          <w:szCs w:val="20"/>
          <w:lang w:val="de-DE"/>
        </w:rPr>
        <w:t>gen, Beihilfen etc. Abgezogen davon werden die Zwangsabgaben, also Steuern und Sozialversich</w:t>
      </w:r>
      <w:r w:rsidRPr="00922FCD">
        <w:rPr>
          <w:rFonts w:ascii="Arial" w:hAnsi="Arial" w:cs="Arial"/>
          <w:sz w:val="20"/>
          <w:szCs w:val="20"/>
          <w:lang w:val="de-DE"/>
        </w:rPr>
        <w:t>e</w:t>
      </w:r>
      <w:r w:rsidRPr="00922FCD">
        <w:rPr>
          <w:rFonts w:ascii="Arial" w:hAnsi="Arial" w:cs="Arial"/>
          <w:sz w:val="20"/>
          <w:szCs w:val="20"/>
          <w:lang w:val="de-DE"/>
        </w:rPr>
        <w:t>rung. Die Kaufkraft bezeichnet somit das frei verfügbare Einkommen</w:t>
      </w:r>
      <w:r w:rsidR="00704B66">
        <w:rPr>
          <w:rFonts w:ascii="Arial" w:hAnsi="Arial" w:cs="Arial"/>
          <w:sz w:val="20"/>
          <w:szCs w:val="20"/>
          <w:lang w:val="de-DE"/>
        </w:rPr>
        <w:t>.</w:t>
      </w:r>
      <w:r w:rsidRPr="00922FCD">
        <w:rPr>
          <w:rFonts w:ascii="Arial" w:hAnsi="Arial" w:cs="Arial"/>
          <w:sz w:val="20"/>
          <w:szCs w:val="20"/>
          <w:lang w:val="de-DE"/>
        </w:rPr>
        <w:t>)</w:t>
      </w:r>
    </w:p>
    <w:p w14:paraId="23871A7A" w14:textId="77777777" w:rsidR="00922FCD" w:rsidRPr="00922FCD" w:rsidRDefault="00922FCD" w:rsidP="00922FCD">
      <w:pPr>
        <w:spacing w:before="120" w:after="0" w:line="360" w:lineRule="auto"/>
        <w:jc w:val="both"/>
        <w:rPr>
          <w:rFonts w:ascii="Arial" w:hAnsi="Arial" w:cs="Arial"/>
          <w:sz w:val="20"/>
          <w:szCs w:val="20"/>
          <w:lang w:val="de-DE"/>
        </w:rPr>
      </w:pPr>
    </w:p>
    <w:p w14:paraId="1FED45BC" w14:textId="77777777" w:rsidR="003C22B3" w:rsidRDefault="00836F1C" w:rsidP="00836F1C">
      <w:pPr>
        <w:spacing w:before="120" w:after="0" w:line="360" w:lineRule="auto"/>
        <w:rPr>
          <w:rFonts w:ascii="Arial" w:hAnsi="Arial" w:cs="Arial"/>
          <w:sz w:val="24"/>
          <w:szCs w:val="20"/>
          <w:lang w:val="de-DE"/>
        </w:rPr>
      </w:pPr>
      <w:r>
        <w:rPr>
          <w:rFonts w:ascii="Arial" w:hAnsi="Arial" w:cs="Arial"/>
          <w:sz w:val="24"/>
          <w:szCs w:val="20"/>
          <w:lang w:val="de-DE"/>
        </w:rPr>
        <w:t xml:space="preserve">Corona und Krieg torpedieren </w:t>
      </w:r>
      <w:r w:rsidRPr="00836F1C">
        <w:rPr>
          <w:rFonts w:ascii="Arial" w:hAnsi="Arial" w:cs="Arial"/>
          <w:sz w:val="24"/>
          <w:szCs w:val="20"/>
          <w:lang w:val="de-DE"/>
        </w:rPr>
        <w:t>die öster</w:t>
      </w:r>
      <w:r w:rsidR="003C22B3">
        <w:rPr>
          <w:rFonts w:ascii="Arial" w:hAnsi="Arial" w:cs="Arial"/>
          <w:sz w:val="24"/>
          <w:szCs w:val="20"/>
          <w:lang w:val="de-DE"/>
        </w:rPr>
        <w:t>reichische Kaufkraftentwicklung</w:t>
      </w:r>
    </w:p>
    <w:p w14:paraId="7C971821" w14:textId="6C99053A" w:rsidR="0001432A" w:rsidRDefault="0001432A" w:rsidP="00836F1C">
      <w:pPr>
        <w:spacing w:before="120" w:after="0" w:line="360" w:lineRule="auto"/>
        <w:rPr>
          <w:rFonts w:ascii="Arial" w:hAnsi="Arial" w:cs="Arial"/>
          <w:sz w:val="20"/>
          <w:szCs w:val="20"/>
          <w:lang w:val="de-DE"/>
        </w:rPr>
      </w:pPr>
      <w:r w:rsidRPr="0001432A">
        <w:rPr>
          <w:rFonts w:ascii="Arial" w:hAnsi="Arial" w:cs="Arial"/>
          <w:sz w:val="20"/>
          <w:szCs w:val="20"/>
          <w:lang w:val="de-DE"/>
        </w:rPr>
        <w:t>Bedingt durch die Bekämpfung der Pandemie und die russische Invasion wenige hundert Kilometer von Österreich entfernt</w:t>
      </w:r>
      <w:r w:rsidR="00205F69">
        <w:rPr>
          <w:rFonts w:ascii="Arial" w:hAnsi="Arial" w:cs="Arial"/>
          <w:sz w:val="20"/>
          <w:szCs w:val="20"/>
          <w:lang w:val="de-DE"/>
        </w:rPr>
        <w:t>,</w:t>
      </w:r>
      <w:r w:rsidRPr="0001432A">
        <w:rPr>
          <w:rFonts w:ascii="Arial" w:hAnsi="Arial" w:cs="Arial"/>
          <w:sz w:val="20"/>
          <w:szCs w:val="20"/>
          <w:lang w:val="de-DE"/>
        </w:rPr>
        <w:t xml:space="preserve"> hat die bislang eher ruhige und konstante Kaufkraftentwicklung in Ö</w:t>
      </w:r>
      <w:r w:rsidR="00465C9F">
        <w:rPr>
          <w:rFonts w:ascii="Arial" w:hAnsi="Arial" w:cs="Arial"/>
          <w:sz w:val="20"/>
          <w:szCs w:val="20"/>
          <w:lang w:val="de-DE"/>
        </w:rPr>
        <w:t>sterreich</w:t>
      </w:r>
      <w:r w:rsidRPr="0001432A">
        <w:rPr>
          <w:rFonts w:ascii="Arial" w:hAnsi="Arial" w:cs="Arial"/>
          <w:sz w:val="20"/>
          <w:szCs w:val="20"/>
          <w:lang w:val="de-DE"/>
        </w:rPr>
        <w:t xml:space="preserve"> dramatische Veränderungen erfahren – und zwar nach unten.</w:t>
      </w:r>
    </w:p>
    <w:p w14:paraId="4B859CA1" w14:textId="1E9488E4" w:rsidR="0001432A" w:rsidRPr="0001432A" w:rsidRDefault="0001432A" w:rsidP="0001432A">
      <w:pPr>
        <w:spacing w:before="120" w:after="0" w:line="360" w:lineRule="auto"/>
        <w:jc w:val="both"/>
        <w:rPr>
          <w:rFonts w:ascii="Arial" w:hAnsi="Arial" w:cs="Arial"/>
          <w:sz w:val="20"/>
          <w:szCs w:val="20"/>
          <w:lang w:val="de-DE"/>
        </w:rPr>
      </w:pPr>
      <w:r w:rsidRPr="0001432A">
        <w:rPr>
          <w:rFonts w:ascii="Arial" w:hAnsi="Arial" w:cs="Arial"/>
          <w:sz w:val="20"/>
          <w:szCs w:val="20"/>
          <w:lang w:val="de-DE"/>
        </w:rPr>
        <w:t xml:space="preserve">In den vergangenen 20 Jahren hat es nur </w:t>
      </w:r>
      <w:r w:rsidR="004E4AC2">
        <w:rPr>
          <w:rFonts w:ascii="Arial" w:hAnsi="Arial" w:cs="Arial"/>
          <w:sz w:val="20"/>
          <w:szCs w:val="20"/>
          <w:lang w:val="de-DE"/>
        </w:rPr>
        <w:t xml:space="preserve">zwei Mal </w:t>
      </w:r>
      <w:r w:rsidRPr="0001432A">
        <w:rPr>
          <w:rFonts w:ascii="Arial" w:hAnsi="Arial" w:cs="Arial"/>
          <w:sz w:val="20"/>
          <w:szCs w:val="20"/>
          <w:lang w:val="de-DE"/>
        </w:rPr>
        <w:t>reale Kaufkraftrückgänge gegeben, und die waren im Vergleich zu heute ein Klacks. 2008 ist die Kaufkraft auf Grund der weltweiten Immobilien- und Finanzkrise um 0,3 % zurückgegangen und 2011 nochmals aus demselben Grund um 0,8 %, denn die Österreicher mussten die systemrelevanten Banken retten.</w:t>
      </w:r>
    </w:p>
    <w:p w14:paraId="48337C23" w14:textId="5ACCD0D5" w:rsidR="0001432A" w:rsidRDefault="0001432A" w:rsidP="0001432A">
      <w:pPr>
        <w:spacing w:before="120" w:after="0" w:line="360" w:lineRule="auto"/>
        <w:jc w:val="both"/>
        <w:rPr>
          <w:rFonts w:ascii="Arial" w:hAnsi="Arial" w:cs="Arial"/>
          <w:sz w:val="20"/>
          <w:szCs w:val="20"/>
          <w:lang w:val="de-DE"/>
        </w:rPr>
      </w:pPr>
      <w:r w:rsidRPr="0001432A">
        <w:rPr>
          <w:rFonts w:ascii="Arial" w:hAnsi="Arial" w:cs="Arial"/>
          <w:sz w:val="20"/>
          <w:szCs w:val="20"/>
          <w:lang w:val="de-DE"/>
        </w:rPr>
        <w:t>Österreich ist damals im Vergleich z</w:t>
      </w:r>
      <w:r w:rsidR="00095753">
        <w:rPr>
          <w:rFonts w:ascii="Arial" w:hAnsi="Arial" w:cs="Arial"/>
          <w:sz w:val="20"/>
          <w:szCs w:val="20"/>
          <w:lang w:val="de-DE"/>
        </w:rPr>
        <w:t xml:space="preserve">u anderen europäischen Ländern, </w:t>
      </w:r>
      <w:r w:rsidRPr="0001432A">
        <w:rPr>
          <w:rFonts w:ascii="Arial" w:hAnsi="Arial" w:cs="Arial"/>
          <w:sz w:val="20"/>
          <w:szCs w:val="20"/>
          <w:lang w:val="de-DE"/>
        </w:rPr>
        <w:t>wie etwa Spanien oder Port</w:t>
      </w:r>
      <w:r w:rsidRPr="0001432A">
        <w:rPr>
          <w:rFonts w:ascii="Arial" w:hAnsi="Arial" w:cs="Arial"/>
          <w:sz w:val="20"/>
          <w:szCs w:val="20"/>
          <w:lang w:val="de-DE"/>
        </w:rPr>
        <w:t>u</w:t>
      </w:r>
      <w:r w:rsidR="00095753">
        <w:rPr>
          <w:rFonts w:ascii="Arial" w:hAnsi="Arial" w:cs="Arial"/>
          <w:sz w:val="20"/>
          <w:szCs w:val="20"/>
          <w:lang w:val="de-DE"/>
        </w:rPr>
        <w:t>gal,</w:t>
      </w:r>
      <w:r w:rsidRPr="0001432A">
        <w:rPr>
          <w:rFonts w:ascii="Arial" w:hAnsi="Arial" w:cs="Arial"/>
          <w:sz w:val="20"/>
          <w:szCs w:val="20"/>
          <w:lang w:val="de-DE"/>
        </w:rPr>
        <w:t xml:space="preserve"> noch relativ glimpflich davongekommen, nicht jedoch bei der Bekämpfung der Pandemie, bei der sich andere Länder, vor allem wegen der geringeren Abhä</w:t>
      </w:r>
      <w:r w:rsidR="00465C9F">
        <w:rPr>
          <w:rFonts w:ascii="Arial" w:hAnsi="Arial" w:cs="Arial"/>
          <w:sz w:val="20"/>
          <w:szCs w:val="20"/>
          <w:lang w:val="de-DE"/>
        </w:rPr>
        <w:t>ngigkeit vom Tourismus</w:t>
      </w:r>
      <w:r w:rsidRPr="0001432A">
        <w:rPr>
          <w:rFonts w:ascii="Arial" w:hAnsi="Arial" w:cs="Arial"/>
          <w:sz w:val="20"/>
          <w:szCs w:val="20"/>
          <w:lang w:val="de-DE"/>
        </w:rPr>
        <w:t xml:space="preserve"> deutlich besser geschlagen haben.</w:t>
      </w:r>
    </w:p>
    <w:p w14:paraId="137DDEEA" w14:textId="77777777" w:rsidR="00836F1C" w:rsidRDefault="00836F1C" w:rsidP="0001432A">
      <w:pPr>
        <w:spacing w:before="120" w:after="0" w:line="360" w:lineRule="auto"/>
        <w:jc w:val="both"/>
        <w:rPr>
          <w:rFonts w:ascii="Arial" w:hAnsi="Arial" w:cs="Arial"/>
          <w:sz w:val="20"/>
          <w:szCs w:val="20"/>
          <w:lang w:val="de-DE"/>
        </w:rPr>
      </w:pPr>
    </w:p>
    <w:p w14:paraId="5EDD6EAE" w14:textId="4735DE1C" w:rsidR="00836F1C" w:rsidRPr="00836F1C" w:rsidRDefault="00836F1C" w:rsidP="0001432A">
      <w:pPr>
        <w:spacing w:before="120" w:after="0" w:line="360" w:lineRule="auto"/>
        <w:jc w:val="both"/>
        <w:rPr>
          <w:rFonts w:ascii="Arial" w:hAnsi="Arial" w:cs="Arial"/>
          <w:sz w:val="24"/>
          <w:szCs w:val="20"/>
          <w:lang w:val="de-DE"/>
        </w:rPr>
      </w:pPr>
      <w:r w:rsidRPr="00836F1C">
        <w:rPr>
          <w:rFonts w:ascii="Arial" w:hAnsi="Arial" w:cs="Arial"/>
          <w:sz w:val="24"/>
          <w:szCs w:val="20"/>
          <w:lang w:val="de-DE"/>
        </w:rPr>
        <w:t>Beamtenposten blieben weitestgehend verschont</w:t>
      </w:r>
    </w:p>
    <w:p w14:paraId="53346213" w14:textId="77777777" w:rsidR="003C22B3" w:rsidRDefault="0001432A" w:rsidP="0001432A">
      <w:pPr>
        <w:spacing w:before="120" w:after="0" w:line="360" w:lineRule="auto"/>
        <w:jc w:val="both"/>
        <w:rPr>
          <w:rFonts w:ascii="Arial" w:hAnsi="Arial" w:cs="Arial"/>
          <w:sz w:val="20"/>
          <w:szCs w:val="20"/>
          <w:lang w:val="de-DE"/>
        </w:rPr>
      </w:pPr>
      <w:r w:rsidRPr="0001432A">
        <w:rPr>
          <w:rFonts w:ascii="Arial" w:hAnsi="Arial" w:cs="Arial"/>
          <w:sz w:val="20"/>
          <w:szCs w:val="20"/>
          <w:lang w:val="de-DE"/>
        </w:rPr>
        <w:t xml:space="preserve">Für den durchschnittlichen Österreicher bedeuteten die </w:t>
      </w:r>
      <w:proofErr w:type="spellStart"/>
      <w:r w:rsidRPr="0001432A">
        <w:rPr>
          <w:rFonts w:ascii="Arial" w:hAnsi="Arial" w:cs="Arial"/>
          <w:sz w:val="20"/>
          <w:szCs w:val="20"/>
          <w:lang w:val="de-DE"/>
        </w:rPr>
        <w:t>Lockdowns</w:t>
      </w:r>
      <w:proofErr w:type="spellEnd"/>
      <w:r w:rsidRPr="0001432A">
        <w:rPr>
          <w:rFonts w:ascii="Arial" w:hAnsi="Arial" w:cs="Arial"/>
          <w:sz w:val="20"/>
          <w:szCs w:val="20"/>
          <w:lang w:val="de-DE"/>
        </w:rPr>
        <w:t xml:space="preserve"> und andere Unannehmlichkeiten einen Rückgang der realen Kaufkraft von </w:t>
      </w:r>
      <w:r w:rsidR="004E4AC2" w:rsidRPr="0001432A">
        <w:rPr>
          <w:rFonts w:ascii="Arial" w:hAnsi="Arial" w:cs="Arial"/>
          <w:sz w:val="20"/>
          <w:szCs w:val="20"/>
          <w:lang w:val="de-DE"/>
        </w:rPr>
        <w:t>durchschnittlich</w:t>
      </w:r>
      <w:r w:rsidRPr="0001432A">
        <w:rPr>
          <w:rFonts w:ascii="Arial" w:hAnsi="Arial" w:cs="Arial"/>
          <w:sz w:val="20"/>
          <w:szCs w:val="20"/>
          <w:lang w:val="de-DE"/>
        </w:rPr>
        <w:t xml:space="preserve"> 3,6 %, wobei der Rückgang nach Pers</w:t>
      </w:r>
      <w:r w:rsidRPr="0001432A">
        <w:rPr>
          <w:rFonts w:ascii="Arial" w:hAnsi="Arial" w:cs="Arial"/>
          <w:sz w:val="20"/>
          <w:szCs w:val="20"/>
          <w:lang w:val="de-DE"/>
        </w:rPr>
        <w:t>o</w:t>
      </w:r>
      <w:r w:rsidRPr="0001432A">
        <w:rPr>
          <w:rFonts w:ascii="Arial" w:hAnsi="Arial" w:cs="Arial"/>
          <w:sz w:val="20"/>
          <w:szCs w:val="20"/>
          <w:lang w:val="de-DE"/>
        </w:rPr>
        <w:t>nengruppen höchst unterschiedlich ausgefallen ist. Während etwa viele Beamte mit ihren gewohnten Gehaltszuwächsen rechnen konnten, waren Tourismusbetriebe, Gastronomie, Künstler und viele a</w:t>
      </w:r>
      <w:r w:rsidRPr="0001432A">
        <w:rPr>
          <w:rFonts w:ascii="Arial" w:hAnsi="Arial" w:cs="Arial"/>
          <w:sz w:val="20"/>
          <w:szCs w:val="20"/>
          <w:lang w:val="de-DE"/>
        </w:rPr>
        <w:t>n</w:t>
      </w:r>
      <w:r w:rsidRPr="0001432A">
        <w:rPr>
          <w:rFonts w:ascii="Arial" w:hAnsi="Arial" w:cs="Arial"/>
          <w:sz w:val="20"/>
          <w:szCs w:val="20"/>
          <w:lang w:val="de-DE"/>
        </w:rPr>
        <w:t xml:space="preserve">dere Selbständige am Rande des Abgrundes. </w:t>
      </w:r>
    </w:p>
    <w:p w14:paraId="64623DEE" w14:textId="6315CD88" w:rsidR="00D940FF" w:rsidRPr="0001432A" w:rsidRDefault="0001432A" w:rsidP="0001432A">
      <w:pPr>
        <w:spacing w:before="120" w:after="0" w:line="360" w:lineRule="auto"/>
        <w:jc w:val="both"/>
        <w:rPr>
          <w:rFonts w:ascii="Arial" w:hAnsi="Arial" w:cs="Arial"/>
          <w:sz w:val="20"/>
          <w:szCs w:val="20"/>
          <w:lang w:val="de-DE"/>
        </w:rPr>
      </w:pPr>
      <w:r w:rsidRPr="0001432A">
        <w:rPr>
          <w:rFonts w:ascii="Arial" w:hAnsi="Arial" w:cs="Arial"/>
          <w:sz w:val="20"/>
          <w:szCs w:val="20"/>
          <w:lang w:val="de-DE"/>
        </w:rPr>
        <w:t>Die wirtschaftlichen Verwerfungen minderten zudem die Einkünfte aus Vermietung und Kapitalverm</w:t>
      </w:r>
      <w:r w:rsidRPr="0001432A">
        <w:rPr>
          <w:rFonts w:ascii="Arial" w:hAnsi="Arial" w:cs="Arial"/>
          <w:sz w:val="20"/>
          <w:szCs w:val="20"/>
          <w:lang w:val="de-DE"/>
        </w:rPr>
        <w:t>ö</w:t>
      </w:r>
      <w:r w:rsidRPr="0001432A">
        <w:rPr>
          <w:rFonts w:ascii="Arial" w:hAnsi="Arial" w:cs="Arial"/>
          <w:sz w:val="20"/>
          <w:szCs w:val="20"/>
          <w:lang w:val="de-DE"/>
        </w:rPr>
        <w:t>gen. Einiges konnten dabei staatliche Hilfeleistungen abfangen, d</w:t>
      </w:r>
      <w:r w:rsidR="00AF0AD8">
        <w:rPr>
          <w:rFonts w:ascii="Arial" w:hAnsi="Arial" w:cs="Arial"/>
          <w:sz w:val="20"/>
          <w:szCs w:val="20"/>
          <w:lang w:val="de-DE"/>
        </w:rPr>
        <w:t xml:space="preserve">och in Summe ergibt sich dieser, </w:t>
      </w:r>
      <w:r w:rsidRPr="0001432A">
        <w:rPr>
          <w:rFonts w:ascii="Arial" w:hAnsi="Arial" w:cs="Arial"/>
          <w:sz w:val="20"/>
          <w:szCs w:val="20"/>
          <w:lang w:val="de-DE"/>
        </w:rPr>
        <w:t>für österreichische Verhältnisse</w:t>
      </w:r>
      <w:r w:rsidR="00AF0AD8">
        <w:rPr>
          <w:rFonts w:ascii="Arial" w:hAnsi="Arial" w:cs="Arial"/>
          <w:sz w:val="20"/>
          <w:szCs w:val="20"/>
          <w:lang w:val="de-DE"/>
        </w:rPr>
        <w:t>,</w:t>
      </w:r>
      <w:r w:rsidRPr="0001432A">
        <w:rPr>
          <w:rFonts w:ascii="Arial" w:hAnsi="Arial" w:cs="Arial"/>
          <w:sz w:val="20"/>
          <w:szCs w:val="20"/>
          <w:lang w:val="de-DE"/>
        </w:rPr>
        <w:t xml:space="preserve"> massive Kaufkraftrückgang.</w:t>
      </w:r>
    </w:p>
    <w:p w14:paraId="7AB07B99" w14:textId="77777777" w:rsidR="003C22B3" w:rsidRPr="0001432A" w:rsidRDefault="003C22B3" w:rsidP="0001432A">
      <w:pPr>
        <w:spacing w:before="120" w:after="0" w:line="360" w:lineRule="auto"/>
        <w:jc w:val="both"/>
        <w:rPr>
          <w:rFonts w:ascii="Arial" w:hAnsi="Arial" w:cs="Arial"/>
          <w:sz w:val="20"/>
          <w:szCs w:val="20"/>
          <w:lang w:val="de-DE"/>
        </w:rPr>
      </w:pPr>
    </w:p>
    <w:p w14:paraId="17F19B14" w14:textId="30895129" w:rsidR="0001432A" w:rsidRPr="004E4AC2" w:rsidRDefault="004E4AC2" w:rsidP="004E4AC2">
      <w:pPr>
        <w:tabs>
          <w:tab w:val="right" w:pos="9070"/>
        </w:tabs>
        <w:spacing w:line="360" w:lineRule="auto"/>
        <w:jc w:val="both"/>
        <w:rPr>
          <w:rFonts w:ascii="Arial" w:hAnsi="Arial" w:cs="Arial"/>
          <w:bCs/>
          <w:spacing w:val="10"/>
          <w:sz w:val="24"/>
          <w:szCs w:val="20"/>
          <w:lang w:val="de-DE"/>
        </w:rPr>
      </w:pPr>
      <w:r w:rsidRPr="004E4AC2">
        <w:rPr>
          <w:rFonts w:ascii="Arial" w:hAnsi="Arial" w:cs="Arial"/>
          <w:bCs/>
          <w:spacing w:val="10"/>
          <w:sz w:val="24"/>
          <w:szCs w:val="20"/>
          <w:lang w:val="de-DE"/>
        </w:rPr>
        <w:t>Leichtes Plus für 2023</w:t>
      </w:r>
    </w:p>
    <w:p w14:paraId="02B9403D" w14:textId="4F3DCE6A" w:rsidR="00077446" w:rsidRPr="0001432A" w:rsidRDefault="0001432A" w:rsidP="00077446">
      <w:pPr>
        <w:spacing w:before="120" w:after="0" w:line="360" w:lineRule="auto"/>
        <w:jc w:val="both"/>
        <w:rPr>
          <w:rFonts w:ascii="Arial" w:hAnsi="Arial" w:cs="Arial"/>
          <w:sz w:val="20"/>
          <w:szCs w:val="20"/>
          <w:lang w:val="de-DE"/>
        </w:rPr>
      </w:pPr>
      <w:r w:rsidRPr="00D940FF">
        <w:rPr>
          <w:rFonts w:ascii="Arial" w:hAnsi="Arial" w:cs="Arial"/>
          <w:sz w:val="20"/>
          <w:szCs w:val="20"/>
          <w:lang w:val="de-DE"/>
        </w:rPr>
        <w:t xml:space="preserve">Doch wie wird es weitergehen? </w:t>
      </w:r>
      <w:r w:rsidR="00077446" w:rsidRPr="00D940FF">
        <w:rPr>
          <w:rFonts w:ascii="Arial" w:hAnsi="Arial" w:cs="Arial"/>
          <w:sz w:val="20"/>
          <w:szCs w:val="20"/>
          <w:lang w:val="de-DE"/>
        </w:rPr>
        <w:t xml:space="preserve">Im Moment </w:t>
      </w:r>
      <w:r w:rsidR="00077446" w:rsidRPr="00077446">
        <w:rPr>
          <w:rFonts w:ascii="Arial" w:hAnsi="Arial" w:cs="Arial"/>
          <w:sz w:val="20"/>
          <w:szCs w:val="20"/>
          <w:lang w:val="de-DE"/>
        </w:rPr>
        <w:t>kann von einer wieder</w:t>
      </w:r>
      <w:r w:rsidR="00CF7F4D">
        <w:rPr>
          <w:rFonts w:ascii="Arial" w:hAnsi="Arial" w:cs="Arial"/>
          <w:sz w:val="20"/>
          <w:szCs w:val="20"/>
          <w:lang w:val="de-DE"/>
        </w:rPr>
        <w:t xml:space="preserve"> </w:t>
      </w:r>
      <w:r w:rsidR="00077446" w:rsidRPr="00077446">
        <w:rPr>
          <w:rFonts w:ascii="Arial" w:hAnsi="Arial" w:cs="Arial"/>
          <w:sz w:val="20"/>
          <w:szCs w:val="20"/>
          <w:lang w:val="de-DE"/>
        </w:rPr>
        <w:t xml:space="preserve">wie </w:t>
      </w:r>
      <w:r w:rsidR="00CF7F4D">
        <w:rPr>
          <w:rFonts w:ascii="Arial" w:hAnsi="Arial" w:cs="Arial"/>
          <w:sz w:val="20"/>
          <w:szCs w:val="20"/>
          <w:lang w:val="de-DE"/>
        </w:rPr>
        <w:t xml:space="preserve">bisher langjährig </w:t>
      </w:r>
      <w:proofErr w:type="gramStart"/>
      <w:r w:rsidR="00CF7F4D">
        <w:rPr>
          <w:rFonts w:ascii="Arial" w:hAnsi="Arial" w:cs="Arial"/>
          <w:sz w:val="20"/>
          <w:szCs w:val="20"/>
          <w:lang w:val="de-DE"/>
        </w:rPr>
        <w:t>üblichen</w:t>
      </w:r>
      <w:proofErr w:type="gramEnd"/>
      <w:r w:rsidR="00077446" w:rsidRPr="00077446">
        <w:rPr>
          <w:rFonts w:ascii="Arial" w:hAnsi="Arial" w:cs="Arial"/>
          <w:sz w:val="20"/>
          <w:szCs w:val="20"/>
          <w:lang w:val="de-DE"/>
        </w:rPr>
        <w:t xml:space="preserve"> Kaufkraftsteigerung von etwa 1 % im Jahr 2023 ausgegangen</w:t>
      </w:r>
      <w:r w:rsidR="00077446" w:rsidRPr="00D940FF">
        <w:rPr>
          <w:rFonts w:ascii="Arial" w:hAnsi="Arial" w:cs="Arial"/>
          <w:sz w:val="20"/>
          <w:szCs w:val="20"/>
          <w:lang w:val="de-DE"/>
        </w:rPr>
        <w:t xml:space="preserve"> werden, die sich wohl </w:t>
      </w:r>
      <w:r w:rsidR="00077446">
        <w:rPr>
          <w:rFonts w:ascii="Arial" w:hAnsi="Arial" w:cs="Arial"/>
          <w:sz w:val="20"/>
          <w:szCs w:val="20"/>
          <w:lang w:val="de-DE"/>
        </w:rPr>
        <w:t xml:space="preserve">auch </w:t>
      </w:r>
      <w:r w:rsidR="00077446" w:rsidRPr="00D940FF">
        <w:rPr>
          <w:rFonts w:ascii="Arial" w:hAnsi="Arial" w:cs="Arial"/>
          <w:sz w:val="20"/>
          <w:szCs w:val="20"/>
          <w:lang w:val="de-DE"/>
        </w:rPr>
        <w:t>2024 for</w:t>
      </w:r>
      <w:r w:rsidR="00077446" w:rsidRPr="00D940FF">
        <w:rPr>
          <w:rFonts w:ascii="Arial" w:hAnsi="Arial" w:cs="Arial"/>
          <w:sz w:val="20"/>
          <w:szCs w:val="20"/>
          <w:lang w:val="de-DE"/>
        </w:rPr>
        <w:t>t</w:t>
      </w:r>
      <w:r w:rsidR="00077446" w:rsidRPr="00D940FF">
        <w:rPr>
          <w:rFonts w:ascii="Arial" w:hAnsi="Arial" w:cs="Arial"/>
          <w:sz w:val="20"/>
          <w:szCs w:val="20"/>
          <w:lang w:val="de-DE"/>
        </w:rPr>
        <w:t xml:space="preserve">setzen wird. </w:t>
      </w:r>
      <w:r w:rsidR="00077446">
        <w:rPr>
          <w:rFonts w:ascii="Arial" w:hAnsi="Arial" w:cs="Arial"/>
          <w:sz w:val="20"/>
          <w:szCs w:val="20"/>
          <w:lang w:val="de-DE"/>
        </w:rPr>
        <w:t xml:space="preserve">Ein großer Unsicherheitsfaktor bleibt allerdings nach wie vor der Russland-Ukraine Krieg. </w:t>
      </w:r>
    </w:p>
    <w:p w14:paraId="28173FDE" w14:textId="77777777" w:rsidR="00077446" w:rsidRDefault="00077446" w:rsidP="00077446">
      <w:pPr>
        <w:spacing w:before="120" w:after="0" w:line="360" w:lineRule="auto"/>
        <w:jc w:val="both"/>
        <w:rPr>
          <w:rFonts w:ascii="Arial" w:hAnsi="Arial" w:cs="Arial"/>
          <w:sz w:val="20"/>
          <w:szCs w:val="20"/>
          <w:lang w:val="de-DE"/>
        </w:rPr>
      </w:pPr>
      <w:r w:rsidRPr="00077446">
        <w:rPr>
          <w:rFonts w:ascii="Arial" w:hAnsi="Arial" w:cs="Arial"/>
          <w:sz w:val="20"/>
          <w:szCs w:val="20"/>
          <w:lang w:val="de-DE"/>
        </w:rPr>
        <w:lastRenderedPageBreak/>
        <w:t xml:space="preserve">Begründen lässt sich die derzeit positive Einschätzung durch die „normal“ hohen Lohnabschlüsse und die Pensionen für das Jahr 2022, wobei die Inflation allerdings aufgrund externer Faktoren in die Höhe geschnellt ist, was natürlich für das Jahr 2022 einen realen Kaufkraftverlust bedeutet, zumal </w:t>
      </w:r>
      <w:r>
        <w:rPr>
          <w:rFonts w:ascii="Arial" w:hAnsi="Arial" w:cs="Arial"/>
          <w:sz w:val="20"/>
          <w:szCs w:val="20"/>
          <w:lang w:val="de-DE"/>
        </w:rPr>
        <w:t xml:space="preserve">auch die anderen Einkunftsarten, </w:t>
      </w:r>
      <w:r w:rsidRPr="00077446">
        <w:rPr>
          <w:rFonts w:ascii="Arial" w:hAnsi="Arial" w:cs="Arial"/>
          <w:sz w:val="20"/>
          <w:szCs w:val="20"/>
          <w:lang w:val="de-DE"/>
        </w:rPr>
        <w:t>wie etwa Einkünfte aus Kapitalvermögen</w:t>
      </w:r>
      <w:r>
        <w:rPr>
          <w:rFonts w:ascii="Arial" w:hAnsi="Arial" w:cs="Arial"/>
          <w:sz w:val="20"/>
          <w:szCs w:val="20"/>
          <w:lang w:val="de-DE"/>
        </w:rPr>
        <w:t>,</w:t>
      </w:r>
      <w:r w:rsidRPr="00077446">
        <w:rPr>
          <w:rFonts w:ascii="Arial" w:hAnsi="Arial" w:cs="Arial"/>
          <w:sz w:val="20"/>
          <w:szCs w:val="20"/>
          <w:lang w:val="de-DE"/>
        </w:rPr>
        <w:t xml:space="preserve"> durch das geringe Zinsniveau und die </w:t>
      </w:r>
      <w:proofErr w:type="spellStart"/>
      <w:r w:rsidRPr="00077446">
        <w:rPr>
          <w:rFonts w:ascii="Arial" w:hAnsi="Arial" w:cs="Arial"/>
          <w:sz w:val="20"/>
          <w:szCs w:val="20"/>
          <w:lang w:val="de-DE"/>
        </w:rPr>
        <w:t>großteils</w:t>
      </w:r>
      <w:proofErr w:type="spellEnd"/>
      <w:r w:rsidRPr="00077446">
        <w:rPr>
          <w:rFonts w:ascii="Arial" w:hAnsi="Arial" w:cs="Arial"/>
          <w:sz w:val="20"/>
          <w:szCs w:val="20"/>
          <w:lang w:val="de-DE"/>
        </w:rPr>
        <w:t xml:space="preserve"> schwächelnden Aktienmärkten nicht gestiegen sind. </w:t>
      </w:r>
    </w:p>
    <w:p w14:paraId="25BBD91D" w14:textId="1EF9EFA8" w:rsidR="00077446" w:rsidRPr="0001432A" w:rsidRDefault="00077446" w:rsidP="00077446">
      <w:pPr>
        <w:spacing w:before="120" w:after="0" w:line="360" w:lineRule="auto"/>
        <w:jc w:val="both"/>
        <w:rPr>
          <w:rFonts w:ascii="Arial" w:hAnsi="Arial" w:cs="Arial"/>
          <w:sz w:val="20"/>
          <w:szCs w:val="20"/>
          <w:lang w:val="de-DE"/>
        </w:rPr>
      </w:pPr>
      <w:r w:rsidRPr="00077446">
        <w:rPr>
          <w:rFonts w:ascii="Arial" w:hAnsi="Arial" w:cs="Arial"/>
          <w:sz w:val="20"/>
          <w:szCs w:val="20"/>
          <w:lang w:val="de-DE"/>
        </w:rPr>
        <w:t>Für 2023 sind jedoch wesentlich höhere Lohn- und Pensionsabschlüsse zu erwarten bzw. schon ve</w:t>
      </w:r>
      <w:r w:rsidRPr="00077446">
        <w:rPr>
          <w:rFonts w:ascii="Arial" w:hAnsi="Arial" w:cs="Arial"/>
          <w:sz w:val="20"/>
          <w:szCs w:val="20"/>
          <w:lang w:val="de-DE"/>
        </w:rPr>
        <w:t>r</w:t>
      </w:r>
      <w:r w:rsidRPr="00077446">
        <w:rPr>
          <w:rFonts w:ascii="Arial" w:hAnsi="Arial" w:cs="Arial"/>
          <w:sz w:val="20"/>
          <w:szCs w:val="20"/>
          <w:lang w:val="de-DE"/>
        </w:rPr>
        <w:t>einbart, teilweise bis zu 10 % gegenüber dem Vorjahr. Die Inflation wird indes – und da sind sich alle nationalen und internationalen Forschungsinstitute einig – wieder deutlich sinken. Auch die internati</w:t>
      </w:r>
      <w:r w:rsidRPr="00077446">
        <w:rPr>
          <w:rFonts w:ascii="Arial" w:hAnsi="Arial" w:cs="Arial"/>
          <w:sz w:val="20"/>
          <w:szCs w:val="20"/>
          <w:lang w:val="de-DE"/>
        </w:rPr>
        <w:t>o</w:t>
      </w:r>
      <w:r w:rsidRPr="00077446">
        <w:rPr>
          <w:rFonts w:ascii="Arial" w:hAnsi="Arial" w:cs="Arial"/>
          <w:sz w:val="20"/>
          <w:szCs w:val="20"/>
          <w:lang w:val="de-DE"/>
        </w:rPr>
        <w:t>nalen Energiemärkte scheinen sich wieder zu beruhigen. Erdgas beispielsweise kostet derzeit an der Börse etwa so viel wie vor 15 Jahren. In Summe ergibt das schlussendlich eine zu erwartende reale Kaufkraftsteigerung, die auch nachhaltig zu sein scheint.</w:t>
      </w:r>
      <w:r w:rsidRPr="0001432A">
        <w:rPr>
          <w:rFonts w:ascii="Arial" w:hAnsi="Arial" w:cs="Arial"/>
          <w:sz w:val="20"/>
          <w:szCs w:val="20"/>
          <w:lang w:val="de-DE"/>
        </w:rPr>
        <w:t xml:space="preserve"> </w:t>
      </w:r>
    </w:p>
    <w:p w14:paraId="4C0BBCE6" w14:textId="1BF0C559" w:rsidR="0001432A" w:rsidRPr="0001432A" w:rsidRDefault="0001432A" w:rsidP="0001432A">
      <w:pPr>
        <w:spacing w:before="120" w:after="0" w:line="360" w:lineRule="auto"/>
        <w:jc w:val="both"/>
        <w:rPr>
          <w:rFonts w:ascii="Arial" w:hAnsi="Arial" w:cs="Arial"/>
          <w:sz w:val="20"/>
          <w:szCs w:val="20"/>
          <w:lang w:val="de-DE"/>
        </w:rPr>
      </w:pPr>
      <w:r w:rsidRPr="0001432A">
        <w:rPr>
          <w:rFonts w:ascii="Arial" w:hAnsi="Arial" w:cs="Arial"/>
          <w:sz w:val="20"/>
          <w:szCs w:val="20"/>
          <w:lang w:val="de-DE"/>
        </w:rPr>
        <w:t xml:space="preserve">Nicht zu vergessen sind auch die </w:t>
      </w:r>
      <w:r w:rsidR="003C1A96">
        <w:rPr>
          <w:rFonts w:ascii="Arial" w:hAnsi="Arial" w:cs="Arial"/>
          <w:sz w:val="20"/>
          <w:szCs w:val="20"/>
          <w:lang w:val="de-DE"/>
        </w:rPr>
        <w:t xml:space="preserve">staatlichen Stützungsmaßnahmen, etwa der Teuerungsausgleich sowie der </w:t>
      </w:r>
      <w:r w:rsidRPr="0001432A">
        <w:rPr>
          <w:rFonts w:ascii="Arial" w:hAnsi="Arial" w:cs="Arial"/>
          <w:sz w:val="20"/>
          <w:szCs w:val="20"/>
          <w:lang w:val="de-DE"/>
        </w:rPr>
        <w:t>Ener</w:t>
      </w:r>
      <w:r w:rsidR="003C1A96">
        <w:rPr>
          <w:rFonts w:ascii="Arial" w:hAnsi="Arial" w:cs="Arial"/>
          <w:sz w:val="20"/>
          <w:szCs w:val="20"/>
          <w:lang w:val="de-DE"/>
        </w:rPr>
        <w:t>giebonus</w:t>
      </w:r>
      <w:r w:rsidRPr="0001432A">
        <w:rPr>
          <w:rFonts w:ascii="Arial" w:hAnsi="Arial" w:cs="Arial"/>
          <w:sz w:val="20"/>
          <w:szCs w:val="20"/>
          <w:lang w:val="de-DE"/>
        </w:rPr>
        <w:t>, die insgesamt für das Jahr 2022 etwa 7,2 Mrd</w:t>
      </w:r>
      <w:r w:rsidR="00EF50AC">
        <w:rPr>
          <w:rFonts w:ascii="Arial" w:hAnsi="Arial" w:cs="Arial"/>
          <w:sz w:val="20"/>
          <w:szCs w:val="20"/>
          <w:lang w:val="de-DE"/>
        </w:rPr>
        <w:t>.</w:t>
      </w:r>
      <w:r w:rsidRPr="0001432A">
        <w:rPr>
          <w:rFonts w:ascii="Arial" w:hAnsi="Arial" w:cs="Arial"/>
          <w:sz w:val="20"/>
          <w:szCs w:val="20"/>
          <w:lang w:val="de-DE"/>
        </w:rPr>
        <w:t xml:space="preserve"> € und 2023 ca. 8,4 Mrd</w:t>
      </w:r>
      <w:r w:rsidR="00EF50AC">
        <w:rPr>
          <w:rFonts w:ascii="Arial" w:hAnsi="Arial" w:cs="Arial"/>
          <w:sz w:val="20"/>
          <w:szCs w:val="20"/>
          <w:lang w:val="de-DE"/>
        </w:rPr>
        <w:t>.</w:t>
      </w:r>
      <w:r w:rsidRPr="0001432A">
        <w:rPr>
          <w:rFonts w:ascii="Arial" w:hAnsi="Arial" w:cs="Arial"/>
          <w:sz w:val="20"/>
          <w:szCs w:val="20"/>
          <w:lang w:val="de-DE"/>
        </w:rPr>
        <w:t xml:space="preserve"> € ausmachen – das sind im nächsten Jahr immerhin durchschni</w:t>
      </w:r>
      <w:r w:rsidR="003C22B3">
        <w:rPr>
          <w:rFonts w:ascii="Arial" w:hAnsi="Arial" w:cs="Arial"/>
          <w:sz w:val="20"/>
          <w:szCs w:val="20"/>
          <w:lang w:val="de-DE"/>
        </w:rPr>
        <w:t xml:space="preserve">ttlich über 900 € pro Einwohner. </w:t>
      </w:r>
      <w:r w:rsidRPr="0001432A">
        <w:rPr>
          <w:rFonts w:ascii="Arial" w:hAnsi="Arial" w:cs="Arial"/>
          <w:sz w:val="20"/>
          <w:szCs w:val="20"/>
          <w:lang w:val="de-DE"/>
        </w:rPr>
        <w:t>Vo</w:t>
      </w:r>
      <w:r w:rsidRPr="0001432A">
        <w:rPr>
          <w:rFonts w:ascii="Arial" w:hAnsi="Arial" w:cs="Arial"/>
          <w:sz w:val="20"/>
          <w:szCs w:val="20"/>
          <w:lang w:val="de-DE"/>
        </w:rPr>
        <w:t>r</w:t>
      </w:r>
      <w:r w:rsidRPr="0001432A">
        <w:rPr>
          <w:rFonts w:ascii="Arial" w:hAnsi="Arial" w:cs="Arial"/>
          <w:sz w:val="20"/>
          <w:szCs w:val="20"/>
          <w:lang w:val="de-DE"/>
        </w:rPr>
        <w:t xml:space="preserve">sichtiger </w:t>
      </w:r>
      <w:r w:rsidR="003C22B3">
        <w:rPr>
          <w:rFonts w:ascii="Arial" w:hAnsi="Arial" w:cs="Arial"/>
          <w:sz w:val="20"/>
          <w:szCs w:val="20"/>
          <w:lang w:val="de-DE"/>
        </w:rPr>
        <w:t xml:space="preserve">Optimismus ist also </w:t>
      </w:r>
      <w:r w:rsidR="0000042F">
        <w:rPr>
          <w:rFonts w:ascii="Arial" w:hAnsi="Arial" w:cs="Arial"/>
          <w:sz w:val="20"/>
          <w:szCs w:val="20"/>
          <w:lang w:val="de-DE"/>
        </w:rPr>
        <w:t xml:space="preserve">durchaus </w:t>
      </w:r>
      <w:r w:rsidR="003C22B3">
        <w:rPr>
          <w:rFonts w:ascii="Arial" w:hAnsi="Arial" w:cs="Arial"/>
          <w:sz w:val="20"/>
          <w:szCs w:val="20"/>
          <w:lang w:val="de-DE"/>
        </w:rPr>
        <w:t>angebracht!</w:t>
      </w:r>
    </w:p>
    <w:p w14:paraId="1A29247F" w14:textId="77777777" w:rsidR="00812314" w:rsidRPr="00F16748" w:rsidRDefault="00812314" w:rsidP="00812314">
      <w:pPr>
        <w:rPr>
          <w:rFonts w:ascii="Arial" w:hAnsi="Arial" w:cs="Arial"/>
          <w:i/>
          <w:sz w:val="20"/>
          <w:szCs w:val="20"/>
          <w:lang w:val="de-DE"/>
        </w:rPr>
      </w:pPr>
    </w:p>
    <w:p w14:paraId="0F4291F9" w14:textId="77777777" w:rsidR="00807249" w:rsidRPr="00F16748" w:rsidRDefault="00807249" w:rsidP="000C1CE1">
      <w:pPr>
        <w:jc w:val="center"/>
        <w:rPr>
          <w:rFonts w:ascii="Arial" w:hAnsi="Arial" w:cs="Arial"/>
          <w:i/>
          <w:sz w:val="20"/>
          <w:szCs w:val="20"/>
          <w:lang w:val="de-DE"/>
        </w:rPr>
      </w:pPr>
    </w:p>
    <w:p w14:paraId="07E6BFB3" w14:textId="77777777" w:rsidR="00807249" w:rsidRPr="00F16748" w:rsidRDefault="00807249" w:rsidP="000C1CE1">
      <w:pPr>
        <w:jc w:val="center"/>
        <w:rPr>
          <w:rFonts w:ascii="Arial" w:hAnsi="Arial" w:cs="Arial"/>
          <w:i/>
          <w:sz w:val="20"/>
          <w:szCs w:val="20"/>
          <w:lang w:val="de-DE"/>
        </w:rPr>
      </w:pPr>
    </w:p>
    <w:p w14:paraId="1FC85B75" w14:textId="79DF3B91" w:rsidR="005B4452" w:rsidRPr="00F16748" w:rsidRDefault="00E60128" w:rsidP="000C1CE1">
      <w:pPr>
        <w:jc w:val="center"/>
        <w:rPr>
          <w:rFonts w:ascii="Arial" w:hAnsi="Arial" w:cs="Arial"/>
          <w:i/>
          <w:sz w:val="20"/>
          <w:szCs w:val="20"/>
        </w:rPr>
      </w:pPr>
      <w:r w:rsidRPr="00F16748">
        <w:rPr>
          <w:rFonts w:ascii="Arial" w:hAnsi="Arial" w:cs="Arial"/>
          <w:i/>
          <w:sz w:val="20"/>
          <w:szCs w:val="20"/>
          <w:lang w:val="de-DE"/>
        </w:rPr>
        <w:t xml:space="preserve">Aktuelle </w:t>
      </w:r>
      <w:r w:rsidR="00F43546" w:rsidRPr="00F16748">
        <w:rPr>
          <w:rFonts w:ascii="Arial" w:hAnsi="Arial" w:cs="Arial"/>
          <w:i/>
          <w:sz w:val="20"/>
          <w:szCs w:val="20"/>
          <w:lang w:val="de-DE"/>
        </w:rPr>
        <w:t>Analyse</w:t>
      </w:r>
      <w:r w:rsidR="00D60A03" w:rsidRPr="00F16748">
        <w:rPr>
          <w:rFonts w:ascii="Arial" w:hAnsi="Arial" w:cs="Arial"/>
          <w:i/>
          <w:sz w:val="20"/>
          <w:szCs w:val="20"/>
          <w:lang w:val="de-DE"/>
        </w:rPr>
        <w:t xml:space="preserve">: </w:t>
      </w:r>
      <w:r w:rsidR="00D60A03" w:rsidRPr="00F16748">
        <w:rPr>
          <w:rFonts w:ascii="Arial" w:hAnsi="Arial" w:cs="Arial"/>
          <w:b/>
          <w:i/>
          <w:sz w:val="20"/>
          <w:szCs w:val="20"/>
          <w:lang w:val="de-DE"/>
        </w:rPr>
        <w:t xml:space="preserve">„RegioData </w:t>
      </w:r>
      <w:r w:rsidR="0001432A">
        <w:rPr>
          <w:rFonts w:ascii="Arial" w:hAnsi="Arial" w:cs="Arial"/>
          <w:b/>
          <w:i/>
          <w:sz w:val="20"/>
          <w:szCs w:val="20"/>
          <w:lang w:val="de-DE"/>
        </w:rPr>
        <w:t>Kaufkraft</w:t>
      </w:r>
      <w:r w:rsidR="00812314">
        <w:rPr>
          <w:rFonts w:ascii="Arial" w:hAnsi="Arial" w:cs="Arial"/>
          <w:b/>
          <w:i/>
          <w:sz w:val="20"/>
          <w:szCs w:val="20"/>
          <w:lang w:val="de-DE"/>
        </w:rPr>
        <w:t xml:space="preserve"> </w:t>
      </w:r>
      <w:r w:rsidR="00D60A03" w:rsidRPr="00F16748">
        <w:rPr>
          <w:rFonts w:ascii="Arial" w:hAnsi="Arial" w:cs="Arial"/>
          <w:b/>
          <w:i/>
          <w:sz w:val="20"/>
          <w:szCs w:val="20"/>
          <w:lang w:val="de-DE"/>
        </w:rPr>
        <w:t>Österreich – Ausgabe 202</w:t>
      </w:r>
      <w:r w:rsidR="00812314">
        <w:rPr>
          <w:rFonts w:ascii="Arial" w:hAnsi="Arial" w:cs="Arial"/>
          <w:b/>
          <w:i/>
          <w:sz w:val="20"/>
          <w:szCs w:val="20"/>
          <w:lang w:val="de-DE"/>
        </w:rPr>
        <w:t>2</w:t>
      </w:r>
      <w:r w:rsidR="00D60A03" w:rsidRPr="00F16748">
        <w:rPr>
          <w:rFonts w:ascii="Arial" w:hAnsi="Arial" w:cs="Arial"/>
          <w:b/>
          <w:i/>
          <w:sz w:val="20"/>
          <w:szCs w:val="20"/>
          <w:lang w:val="de-DE"/>
        </w:rPr>
        <w:t>“.</w:t>
      </w:r>
    </w:p>
    <w:p w14:paraId="210FEA07" w14:textId="5160A2AE" w:rsidR="00D60A03" w:rsidRPr="00F16748" w:rsidRDefault="00F71DFE" w:rsidP="000C1CE1">
      <w:pPr>
        <w:jc w:val="center"/>
        <w:rPr>
          <w:rFonts w:ascii="Arial" w:hAnsi="Arial" w:cs="Arial"/>
          <w:i/>
          <w:sz w:val="20"/>
          <w:szCs w:val="20"/>
        </w:rPr>
      </w:pPr>
      <w:r w:rsidRPr="00F16748">
        <w:rPr>
          <w:rFonts w:ascii="Arial" w:hAnsi="Arial" w:cs="Arial"/>
          <w:i/>
          <w:sz w:val="20"/>
          <w:szCs w:val="20"/>
        </w:rPr>
        <w:t xml:space="preserve">Die </w:t>
      </w:r>
      <w:r w:rsidR="00807249" w:rsidRPr="00F16748">
        <w:rPr>
          <w:rFonts w:ascii="Arial" w:hAnsi="Arial" w:cs="Arial"/>
          <w:b/>
          <w:bCs/>
          <w:i/>
          <w:sz w:val="20"/>
          <w:szCs w:val="20"/>
        </w:rPr>
        <w:t xml:space="preserve">RegioData Research </w:t>
      </w:r>
      <w:r w:rsidRPr="00F16748">
        <w:rPr>
          <w:rFonts w:ascii="Arial" w:hAnsi="Arial" w:cs="Arial"/>
          <w:b/>
          <w:bCs/>
          <w:i/>
          <w:sz w:val="20"/>
          <w:szCs w:val="20"/>
        </w:rPr>
        <w:t>GmbH</w:t>
      </w:r>
      <w:r w:rsidRPr="00F16748">
        <w:rPr>
          <w:rFonts w:ascii="Arial" w:hAnsi="Arial" w:cs="Arial"/>
          <w:i/>
          <w:sz w:val="20"/>
          <w:szCs w:val="20"/>
        </w:rPr>
        <w:t xml:space="preserve"> mit Sitz in Wien und München ist Spezialist bei regionalen Wir</w:t>
      </w:r>
      <w:r w:rsidRPr="00F16748">
        <w:rPr>
          <w:rFonts w:ascii="Arial" w:hAnsi="Arial" w:cs="Arial"/>
          <w:i/>
          <w:sz w:val="20"/>
          <w:szCs w:val="20"/>
        </w:rPr>
        <w:t>t</w:t>
      </w:r>
      <w:r w:rsidRPr="00F16748">
        <w:rPr>
          <w:rFonts w:ascii="Arial" w:hAnsi="Arial" w:cs="Arial"/>
          <w:i/>
          <w:sz w:val="20"/>
          <w:szCs w:val="20"/>
        </w:rPr>
        <w:t>schaftsdaten in Europa. Wir liefern Entscheidungsgrundlagen für Handel, Real Estate und Finanzi</w:t>
      </w:r>
      <w:r w:rsidRPr="00F16748">
        <w:rPr>
          <w:rFonts w:ascii="Arial" w:hAnsi="Arial" w:cs="Arial"/>
          <w:i/>
          <w:sz w:val="20"/>
          <w:szCs w:val="20"/>
        </w:rPr>
        <w:t>e</w:t>
      </w:r>
      <w:r w:rsidRPr="00F16748">
        <w:rPr>
          <w:rFonts w:ascii="Arial" w:hAnsi="Arial" w:cs="Arial"/>
          <w:i/>
          <w:sz w:val="20"/>
          <w:szCs w:val="20"/>
        </w:rPr>
        <w:t>rung. Aktuell, klar und sicher.</w:t>
      </w:r>
    </w:p>
    <w:p w14:paraId="7A91E143" w14:textId="77777777" w:rsidR="00D60A03" w:rsidRPr="00F16748" w:rsidRDefault="00D60A03">
      <w:pPr>
        <w:rPr>
          <w:rFonts w:ascii="Arial" w:hAnsi="Arial" w:cs="Arial"/>
          <w:sz w:val="20"/>
          <w:szCs w:val="20"/>
        </w:rPr>
      </w:pPr>
    </w:p>
    <w:sectPr w:rsidR="00D60A03"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PRESSEMITEILUNG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PRESSEMITEILUNG</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042F"/>
    <w:rsid w:val="00004CA0"/>
    <w:rsid w:val="00006A74"/>
    <w:rsid w:val="0001432A"/>
    <w:rsid w:val="0001600B"/>
    <w:rsid w:val="00023532"/>
    <w:rsid w:val="00025FD8"/>
    <w:rsid w:val="00032A18"/>
    <w:rsid w:val="000361E5"/>
    <w:rsid w:val="0004461F"/>
    <w:rsid w:val="00046F11"/>
    <w:rsid w:val="00063AF7"/>
    <w:rsid w:val="00063E99"/>
    <w:rsid w:val="00064567"/>
    <w:rsid w:val="00066988"/>
    <w:rsid w:val="0007443E"/>
    <w:rsid w:val="00077446"/>
    <w:rsid w:val="00082355"/>
    <w:rsid w:val="000853B1"/>
    <w:rsid w:val="00085804"/>
    <w:rsid w:val="00085FD6"/>
    <w:rsid w:val="00087182"/>
    <w:rsid w:val="0008792A"/>
    <w:rsid w:val="000904E9"/>
    <w:rsid w:val="00090AA4"/>
    <w:rsid w:val="00091B24"/>
    <w:rsid w:val="00093D09"/>
    <w:rsid w:val="00095753"/>
    <w:rsid w:val="000A7664"/>
    <w:rsid w:val="000B529D"/>
    <w:rsid w:val="000C1CE1"/>
    <w:rsid w:val="000C4B00"/>
    <w:rsid w:val="000D4987"/>
    <w:rsid w:val="000E6CDA"/>
    <w:rsid w:val="000E6E82"/>
    <w:rsid w:val="000F0744"/>
    <w:rsid w:val="000F3694"/>
    <w:rsid w:val="000F72E6"/>
    <w:rsid w:val="00102930"/>
    <w:rsid w:val="001119B8"/>
    <w:rsid w:val="00112A2C"/>
    <w:rsid w:val="001135D7"/>
    <w:rsid w:val="001226E9"/>
    <w:rsid w:val="001348CE"/>
    <w:rsid w:val="00136611"/>
    <w:rsid w:val="00137A41"/>
    <w:rsid w:val="0014291F"/>
    <w:rsid w:val="00153BF4"/>
    <w:rsid w:val="0016175D"/>
    <w:rsid w:val="00161D27"/>
    <w:rsid w:val="001655E7"/>
    <w:rsid w:val="001869D3"/>
    <w:rsid w:val="00192D47"/>
    <w:rsid w:val="00193724"/>
    <w:rsid w:val="00193CF1"/>
    <w:rsid w:val="00197331"/>
    <w:rsid w:val="001A02DF"/>
    <w:rsid w:val="001A287D"/>
    <w:rsid w:val="001A5C6C"/>
    <w:rsid w:val="001B0CE7"/>
    <w:rsid w:val="001C14C2"/>
    <w:rsid w:val="001D6A74"/>
    <w:rsid w:val="001E3642"/>
    <w:rsid w:val="001F68E9"/>
    <w:rsid w:val="002014D2"/>
    <w:rsid w:val="002022D6"/>
    <w:rsid w:val="00205F69"/>
    <w:rsid w:val="00214B28"/>
    <w:rsid w:val="002168A4"/>
    <w:rsid w:val="00217E1B"/>
    <w:rsid w:val="00222DF0"/>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A6DDC"/>
    <w:rsid w:val="002B764D"/>
    <w:rsid w:val="002C2870"/>
    <w:rsid w:val="002C2BD7"/>
    <w:rsid w:val="002C729B"/>
    <w:rsid w:val="002C7A4D"/>
    <w:rsid w:val="002D5F14"/>
    <w:rsid w:val="002F583A"/>
    <w:rsid w:val="00311979"/>
    <w:rsid w:val="0031315E"/>
    <w:rsid w:val="00315059"/>
    <w:rsid w:val="00317835"/>
    <w:rsid w:val="0032167A"/>
    <w:rsid w:val="00331D2D"/>
    <w:rsid w:val="003329D9"/>
    <w:rsid w:val="0033438B"/>
    <w:rsid w:val="00341E3D"/>
    <w:rsid w:val="00343661"/>
    <w:rsid w:val="00345577"/>
    <w:rsid w:val="00350034"/>
    <w:rsid w:val="0035197C"/>
    <w:rsid w:val="0035648A"/>
    <w:rsid w:val="0035719E"/>
    <w:rsid w:val="003629A5"/>
    <w:rsid w:val="00364599"/>
    <w:rsid w:val="00367946"/>
    <w:rsid w:val="00370477"/>
    <w:rsid w:val="003830A5"/>
    <w:rsid w:val="0038355B"/>
    <w:rsid w:val="0039764B"/>
    <w:rsid w:val="003A1D2F"/>
    <w:rsid w:val="003A3070"/>
    <w:rsid w:val="003A7A0F"/>
    <w:rsid w:val="003B0D82"/>
    <w:rsid w:val="003B23D9"/>
    <w:rsid w:val="003B435E"/>
    <w:rsid w:val="003C1A96"/>
    <w:rsid w:val="003C22B3"/>
    <w:rsid w:val="003D0026"/>
    <w:rsid w:val="003D592C"/>
    <w:rsid w:val="003F2D82"/>
    <w:rsid w:val="004128D4"/>
    <w:rsid w:val="004169BD"/>
    <w:rsid w:val="004178A2"/>
    <w:rsid w:val="00421196"/>
    <w:rsid w:val="00423EB0"/>
    <w:rsid w:val="00423ECE"/>
    <w:rsid w:val="004353E0"/>
    <w:rsid w:val="004421DC"/>
    <w:rsid w:val="00450A87"/>
    <w:rsid w:val="00451FA5"/>
    <w:rsid w:val="00462611"/>
    <w:rsid w:val="00464440"/>
    <w:rsid w:val="00465525"/>
    <w:rsid w:val="00465C9F"/>
    <w:rsid w:val="004660BB"/>
    <w:rsid w:val="00472EF0"/>
    <w:rsid w:val="004733A4"/>
    <w:rsid w:val="0048389E"/>
    <w:rsid w:val="004838D5"/>
    <w:rsid w:val="004928FB"/>
    <w:rsid w:val="00495C79"/>
    <w:rsid w:val="0049698F"/>
    <w:rsid w:val="00497052"/>
    <w:rsid w:val="004A19EF"/>
    <w:rsid w:val="004B46B1"/>
    <w:rsid w:val="004B5827"/>
    <w:rsid w:val="004C29EB"/>
    <w:rsid w:val="004C4462"/>
    <w:rsid w:val="004D109A"/>
    <w:rsid w:val="004D4414"/>
    <w:rsid w:val="004E11C4"/>
    <w:rsid w:val="004E4AC2"/>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3B04"/>
    <w:rsid w:val="00554A33"/>
    <w:rsid w:val="00560672"/>
    <w:rsid w:val="00576B1A"/>
    <w:rsid w:val="00576E50"/>
    <w:rsid w:val="00580847"/>
    <w:rsid w:val="005845EC"/>
    <w:rsid w:val="0059571F"/>
    <w:rsid w:val="005A2E86"/>
    <w:rsid w:val="005A48A8"/>
    <w:rsid w:val="005B3CDA"/>
    <w:rsid w:val="005B4452"/>
    <w:rsid w:val="005B67CA"/>
    <w:rsid w:val="005B6977"/>
    <w:rsid w:val="005D2075"/>
    <w:rsid w:val="005D22BF"/>
    <w:rsid w:val="005D4CFA"/>
    <w:rsid w:val="005E1CAB"/>
    <w:rsid w:val="005E6F44"/>
    <w:rsid w:val="005F0EB4"/>
    <w:rsid w:val="00603173"/>
    <w:rsid w:val="00603D5E"/>
    <w:rsid w:val="00623C25"/>
    <w:rsid w:val="006265BE"/>
    <w:rsid w:val="00631AC4"/>
    <w:rsid w:val="006347D3"/>
    <w:rsid w:val="006372FD"/>
    <w:rsid w:val="00644E07"/>
    <w:rsid w:val="006450F0"/>
    <w:rsid w:val="00652F8E"/>
    <w:rsid w:val="00653575"/>
    <w:rsid w:val="006605D8"/>
    <w:rsid w:val="0066711C"/>
    <w:rsid w:val="0067725A"/>
    <w:rsid w:val="00681168"/>
    <w:rsid w:val="006850B3"/>
    <w:rsid w:val="00686047"/>
    <w:rsid w:val="0069577D"/>
    <w:rsid w:val="00696864"/>
    <w:rsid w:val="006A56BD"/>
    <w:rsid w:val="006A5AE1"/>
    <w:rsid w:val="006B49D4"/>
    <w:rsid w:val="006B5D80"/>
    <w:rsid w:val="006D58AE"/>
    <w:rsid w:val="006E384B"/>
    <w:rsid w:val="006E53BF"/>
    <w:rsid w:val="006F27C7"/>
    <w:rsid w:val="006F432D"/>
    <w:rsid w:val="006F4902"/>
    <w:rsid w:val="006F6C74"/>
    <w:rsid w:val="00702555"/>
    <w:rsid w:val="0070379B"/>
    <w:rsid w:val="00704B66"/>
    <w:rsid w:val="00711869"/>
    <w:rsid w:val="00713221"/>
    <w:rsid w:val="00716642"/>
    <w:rsid w:val="00716B7C"/>
    <w:rsid w:val="007233FA"/>
    <w:rsid w:val="007375DD"/>
    <w:rsid w:val="00745A4C"/>
    <w:rsid w:val="00751534"/>
    <w:rsid w:val="00751A66"/>
    <w:rsid w:val="00755CB5"/>
    <w:rsid w:val="00763110"/>
    <w:rsid w:val="00766628"/>
    <w:rsid w:val="00771020"/>
    <w:rsid w:val="00772745"/>
    <w:rsid w:val="00777E11"/>
    <w:rsid w:val="0078124B"/>
    <w:rsid w:val="00781B5C"/>
    <w:rsid w:val="00784791"/>
    <w:rsid w:val="0078629F"/>
    <w:rsid w:val="00795A39"/>
    <w:rsid w:val="007A0286"/>
    <w:rsid w:val="007C4D4C"/>
    <w:rsid w:val="007D0E74"/>
    <w:rsid w:val="007D0F01"/>
    <w:rsid w:val="007D2148"/>
    <w:rsid w:val="007D555A"/>
    <w:rsid w:val="007D70B3"/>
    <w:rsid w:val="007D7648"/>
    <w:rsid w:val="007E0ABC"/>
    <w:rsid w:val="007F51B4"/>
    <w:rsid w:val="007F72C6"/>
    <w:rsid w:val="0080126A"/>
    <w:rsid w:val="00801872"/>
    <w:rsid w:val="00807249"/>
    <w:rsid w:val="00812314"/>
    <w:rsid w:val="00815048"/>
    <w:rsid w:val="00822296"/>
    <w:rsid w:val="00824C2B"/>
    <w:rsid w:val="00836F1C"/>
    <w:rsid w:val="0084056B"/>
    <w:rsid w:val="00840B82"/>
    <w:rsid w:val="00842AC9"/>
    <w:rsid w:val="008437F5"/>
    <w:rsid w:val="00843B68"/>
    <w:rsid w:val="008479FE"/>
    <w:rsid w:val="008518CB"/>
    <w:rsid w:val="00862EDC"/>
    <w:rsid w:val="00863906"/>
    <w:rsid w:val="0086391F"/>
    <w:rsid w:val="008677E8"/>
    <w:rsid w:val="00873DBF"/>
    <w:rsid w:val="0089262F"/>
    <w:rsid w:val="00894D4C"/>
    <w:rsid w:val="008A0548"/>
    <w:rsid w:val="008A2B8E"/>
    <w:rsid w:val="008B28CB"/>
    <w:rsid w:val="008C5C5A"/>
    <w:rsid w:val="008C7948"/>
    <w:rsid w:val="008D5C0B"/>
    <w:rsid w:val="008D6D08"/>
    <w:rsid w:val="008D6DD7"/>
    <w:rsid w:val="008E4E01"/>
    <w:rsid w:val="008F22DB"/>
    <w:rsid w:val="009024C9"/>
    <w:rsid w:val="0090627A"/>
    <w:rsid w:val="00906644"/>
    <w:rsid w:val="00911DD1"/>
    <w:rsid w:val="00922FCD"/>
    <w:rsid w:val="009305C5"/>
    <w:rsid w:val="0093692B"/>
    <w:rsid w:val="00944833"/>
    <w:rsid w:val="00961625"/>
    <w:rsid w:val="00970569"/>
    <w:rsid w:val="00974DDB"/>
    <w:rsid w:val="00981F9B"/>
    <w:rsid w:val="00984D6D"/>
    <w:rsid w:val="009859E4"/>
    <w:rsid w:val="00991A5E"/>
    <w:rsid w:val="00995AB2"/>
    <w:rsid w:val="009965E4"/>
    <w:rsid w:val="009A45D4"/>
    <w:rsid w:val="009A5478"/>
    <w:rsid w:val="009B2A55"/>
    <w:rsid w:val="009B3C58"/>
    <w:rsid w:val="009B3DEB"/>
    <w:rsid w:val="009B56A8"/>
    <w:rsid w:val="009B7CCD"/>
    <w:rsid w:val="009C251A"/>
    <w:rsid w:val="009C44B7"/>
    <w:rsid w:val="009C4D25"/>
    <w:rsid w:val="009D0E8A"/>
    <w:rsid w:val="009D2B7C"/>
    <w:rsid w:val="009D491E"/>
    <w:rsid w:val="009E4B92"/>
    <w:rsid w:val="009E5293"/>
    <w:rsid w:val="009F2772"/>
    <w:rsid w:val="009F4C3A"/>
    <w:rsid w:val="00A00B26"/>
    <w:rsid w:val="00A076AD"/>
    <w:rsid w:val="00A14CC1"/>
    <w:rsid w:val="00A150C8"/>
    <w:rsid w:val="00A204BE"/>
    <w:rsid w:val="00A24011"/>
    <w:rsid w:val="00A314BB"/>
    <w:rsid w:val="00A35898"/>
    <w:rsid w:val="00A35CAA"/>
    <w:rsid w:val="00A37897"/>
    <w:rsid w:val="00A41437"/>
    <w:rsid w:val="00A43B9C"/>
    <w:rsid w:val="00A472D6"/>
    <w:rsid w:val="00A51C98"/>
    <w:rsid w:val="00A57114"/>
    <w:rsid w:val="00A66287"/>
    <w:rsid w:val="00A756F2"/>
    <w:rsid w:val="00A9495B"/>
    <w:rsid w:val="00A95168"/>
    <w:rsid w:val="00AA13FF"/>
    <w:rsid w:val="00AB045C"/>
    <w:rsid w:val="00AB2184"/>
    <w:rsid w:val="00AC0D1B"/>
    <w:rsid w:val="00AC0E95"/>
    <w:rsid w:val="00AD124B"/>
    <w:rsid w:val="00AE09C7"/>
    <w:rsid w:val="00AE0F0C"/>
    <w:rsid w:val="00AE6C2A"/>
    <w:rsid w:val="00AF0AD8"/>
    <w:rsid w:val="00AF37AD"/>
    <w:rsid w:val="00B065C6"/>
    <w:rsid w:val="00B11417"/>
    <w:rsid w:val="00B23737"/>
    <w:rsid w:val="00B40DA7"/>
    <w:rsid w:val="00B4516F"/>
    <w:rsid w:val="00B51435"/>
    <w:rsid w:val="00B53485"/>
    <w:rsid w:val="00B53C97"/>
    <w:rsid w:val="00B54656"/>
    <w:rsid w:val="00B55448"/>
    <w:rsid w:val="00B55742"/>
    <w:rsid w:val="00B704B3"/>
    <w:rsid w:val="00B756A9"/>
    <w:rsid w:val="00B75DBB"/>
    <w:rsid w:val="00B75E4F"/>
    <w:rsid w:val="00B77965"/>
    <w:rsid w:val="00B80D70"/>
    <w:rsid w:val="00B839AC"/>
    <w:rsid w:val="00B84A5E"/>
    <w:rsid w:val="00B87099"/>
    <w:rsid w:val="00B93D92"/>
    <w:rsid w:val="00B94669"/>
    <w:rsid w:val="00BA04FC"/>
    <w:rsid w:val="00BA303D"/>
    <w:rsid w:val="00BB17FA"/>
    <w:rsid w:val="00BC0500"/>
    <w:rsid w:val="00BC093A"/>
    <w:rsid w:val="00BC2BA6"/>
    <w:rsid w:val="00BC566A"/>
    <w:rsid w:val="00BC778D"/>
    <w:rsid w:val="00BD1C87"/>
    <w:rsid w:val="00BD599F"/>
    <w:rsid w:val="00BD72E1"/>
    <w:rsid w:val="00BE1385"/>
    <w:rsid w:val="00BE7E49"/>
    <w:rsid w:val="00BF3551"/>
    <w:rsid w:val="00BF4353"/>
    <w:rsid w:val="00BF61DF"/>
    <w:rsid w:val="00C07602"/>
    <w:rsid w:val="00C13CA3"/>
    <w:rsid w:val="00C212D0"/>
    <w:rsid w:val="00C215B1"/>
    <w:rsid w:val="00C2548F"/>
    <w:rsid w:val="00C37983"/>
    <w:rsid w:val="00C41CB6"/>
    <w:rsid w:val="00C448DD"/>
    <w:rsid w:val="00C8390A"/>
    <w:rsid w:val="00C84408"/>
    <w:rsid w:val="00C84D0A"/>
    <w:rsid w:val="00C94E9E"/>
    <w:rsid w:val="00CB0505"/>
    <w:rsid w:val="00CB228A"/>
    <w:rsid w:val="00CC1EAE"/>
    <w:rsid w:val="00CC2B11"/>
    <w:rsid w:val="00CC7E7E"/>
    <w:rsid w:val="00CD1F89"/>
    <w:rsid w:val="00CD7C31"/>
    <w:rsid w:val="00CF07E6"/>
    <w:rsid w:val="00CF2968"/>
    <w:rsid w:val="00CF4765"/>
    <w:rsid w:val="00CF58AF"/>
    <w:rsid w:val="00CF7DC4"/>
    <w:rsid w:val="00CF7F4D"/>
    <w:rsid w:val="00D0602E"/>
    <w:rsid w:val="00D07D01"/>
    <w:rsid w:val="00D179B6"/>
    <w:rsid w:val="00D262F1"/>
    <w:rsid w:val="00D31BD6"/>
    <w:rsid w:val="00D31FBB"/>
    <w:rsid w:val="00D36466"/>
    <w:rsid w:val="00D4043E"/>
    <w:rsid w:val="00D5257F"/>
    <w:rsid w:val="00D5259A"/>
    <w:rsid w:val="00D533FC"/>
    <w:rsid w:val="00D55635"/>
    <w:rsid w:val="00D577AF"/>
    <w:rsid w:val="00D60A03"/>
    <w:rsid w:val="00D63B8F"/>
    <w:rsid w:val="00D75714"/>
    <w:rsid w:val="00D87F36"/>
    <w:rsid w:val="00D940FF"/>
    <w:rsid w:val="00D95E9F"/>
    <w:rsid w:val="00D97FA7"/>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0617"/>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0AC"/>
    <w:rsid w:val="00EF59B1"/>
    <w:rsid w:val="00F04815"/>
    <w:rsid w:val="00F10194"/>
    <w:rsid w:val="00F14A14"/>
    <w:rsid w:val="00F16748"/>
    <w:rsid w:val="00F17295"/>
    <w:rsid w:val="00F33CE3"/>
    <w:rsid w:val="00F3546D"/>
    <w:rsid w:val="00F40837"/>
    <w:rsid w:val="00F43546"/>
    <w:rsid w:val="00F44DDA"/>
    <w:rsid w:val="00F6386E"/>
    <w:rsid w:val="00F63903"/>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 w:type="paragraph" w:styleId="StandardWeb">
    <w:name w:val="Normal (Web)"/>
    <w:basedOn w:val="Standard"/>
    <w:uiPriority w:val="99"/>
    <w:unhideWhenUsed/>
    <w:rsid w:val="004E4AC2"/>
    <w:pPr>
      <w:spacing w:after="0" w:line="240" w:lineRule="auto"/>
    </w:pPr>
    <w:rPr>
      <w:rFonts w:ascii="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 w:type="paragraph" w:styleId="StandardWeb">
    <w:name w:val="Normal (Web)"/>
    <w:basedOn w:val="Standard"/>
    <w:uiPriority w:val="99"/>
    <w:unhideWhenUsed/>
    <w:rsid w:val="004E4AC2"/>
    <w:pPr>
      <w:spacing w:after="0" w:line="240" w:lineRule="auto"/>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salihov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C1E5-31D4-4080-AE9C-D5CF056E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4487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71</cp:revision>
  <cp:lastPrinted>2022-06-29T12:43:00Z</cp:lastPrinted>
  <dcterms:created xsi:type="dcterms:W3CDTF">2022-08-08T07:43:00Z</dcterms:created>
  <dcterms:modified xsi:type="dcterms:W3CDTF">2022-12-12T13:21:00Z</dcterms:modified>
</cp:coreProperties>
</file>