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BF" w:rsidRDefault="00C823BF" w:rsidP="0073403C">
      <w:pPr>
        <w:tabs>
          <w:tab w:val="left" w:pos="3600"/>
        </w:tabs>
        <w:rPr>
          <w:rFonts w:ascii="Tahoma" w:hAnsi="Tahoma" w:cs="Tahoma"/>
          <w:b/>
          <w:bCs/>
          <w:color w:val="3366FF"/>
          <w:sz w:val="21"/>
          <w:szCs w:val="21"/>
          <w:lang w:val="de-DE"/>
        </w:rPr>
      </w:pPr>
    </w:p>
    <w:p w:rsidR="0073403C" w:rsidRDefault="0073403C" w:rsidP="002F746F">
      <w:pPr>
        <w:tabs>
          <w:tab w:val="left" w:pos="1276"/>
        </w:tabs>
        <w:rPr>
          <w:rFonts w:ascii="Arial" w:hAnsi="Arial" w:cs="Arial"/>
          <w:bCs/>
          <w:color w:val="009ADB"/>
          <w:spacing w:val="10"/>
          <w:lang w:val="de-DE"/>
        </w:rPr>
      </w:pPr>
    </w:p>
    <w:p w:rsidR="00C823BF" w:rsidRPr="006B0B6D" w:rsidRDefault="006B0B6D" w:rsidP="002F746F">
      <w:pPr>
        <w:tabs>
          <w:tab w:val="left" w:pos="1276"/>
        </w:tabs>
        <w:rPr>
          <w:rFonts w:ascii="Arial" w:hAnsi="Arial" w:cs="Arial"/>
          <w:b/>
          <w:color w:val="525556"/>
          <w:lang w:val="de-DE"/>
        </w:rPr>
      </w:pPr>
      <w:r w:rsidRPr="006B0B6D">
        <w:rPr>
          <w:rFonts w:ascii="Arial" w:hAnsi="Arial" w:cs="Arial"/>
          <w:bCs/>
          <w:color w:val="009ADB"/>
          <w:spacing w:val="10"/>
          <w:lang w:val="de-DE"/>
        </w:rPr>
        <w:t>DATUM:</w:t>
      </w:r>
      <w:r w:rsidR="00C823BF" w:rsidRPr="006B0B6D">
        <w:rPr>
          <w:rFonts w:ascii="Arial" w:hAnsi="Arial" w:cs="Arial"/>
          <w:bCs/>
          <w:color w:val="009ADB"/>
          <w:spacing w:val="10"/>
          <w:lang w:val="de-DE"/>
        </w:rPr>
        <w:tab/>
      </w:r>
      <w:r w:rsidR="00C823BF" w:rsidRPr="006B0B6D">
        <w:rPr>
          <w:rFonts w:ascii="Arial" w:hAnsi="Arial" w:cs="Arial"/>
          <w:bCs/>
          <w:color w:val="009ADB"/>
          <w:spacing w:val="10"/>
          <w:lang w:val="de-DE"/>
        </w:rPr>
        <w:tab/>
      </w:r>
      <w:r w:rsidR="007E0429">
        <w:rPr>
          <w:rFonts w:ascii="Arial" w:hAnsi="Arial" w:cs="Arial"/>
          <w:b/>
          <w:color w:val="525556"/>
          <w:sz w:val="20"/>
          <w:lang w:val="de-DE"/>
        </w:rPr>
        <w:t>16. November 2022</w:t>
      </w:r>
      <w:bookmarkStart w:id="0" w:name="_GoBack"/>
      <w:bookmarkEnd w:id="0"/>
    </w:p>
    <w:p w:rsidR="00C823BF" w:rsidRPr="006B0B6D" w:rsidRDefault="00C823BF" w:rsidP="002F746F">
      <w:pPr>
        <w:jc w:val="center"/>
        <w:rPr>
          <w:rFonts w:ascii="Tahoma" w:hAnsi="Tahoma" w:cs="Tahoma"/>
          <w:b/>
          <w:bCs/>
          <w:color w:val="3366FF"/>
          <w:lang w:val="de-DE"/>
        </w:rPr>
      </w:pPr>
    </w:p>
    <w:p w:rsidR="00C823BF" w:rsidRDefault="006B0B6D" w:rsidP="002F746F">
      <w:pPr>
        <w:rPr>
          <w:rFonts w:ascii="Arial" w:hAnsi="Arial" w:cs="Arial"/>
          <w:b/>
          <w:color w:val="525556"/>
          <w:sz w:val="20"/>
          <w:lang w:val="de-DE"/>
        </w:rPr>
      </w:pPr>
      <w:r w:rsidRPr="006B0B6D">
        <w:rPr>
          <w:rFonts w:ascii="Arial" w:hAnsi="Arial" w:cs="Arial"/>
          <w:bCs/>
          <w:color w:val="009ADB"/>
          <w:spacing w:val="10"/>
          <w:lang w:val="de-DE"/>
        </w:rPr>
        <w:t>AUSWERTUNG:</w:t>
      </w:r>
      <w:r w:rsidR="00C823BF" w:rsidRPr="006B0B6D">
        <w:rPr>
          <w:rFonts w:ascii="Tahoma" w:hAnsi="Tahoma" w:cs="Tahoma"/>
          <w:b/>
        </w:rPr>
        <w:t xml:space="preserve"> </w:t>
      </w:r>
      <w:r w:rsidR="00496817">
        <w:rPr>
          <w:rFonts w:ascii="Arial" w:hAnsi="Arial" w:cs="Arial"/>
          <w:b/>
          <w:color w:val="525556"/>
          <w:sz w:val="20"/>
          <w:lang w:val="de-DE"/>
        </w:rPr>
        <w:t>DIE E</w:t>
      </w:r>
      <w:r w:rsidR="00803D77">
        <w:rPr>
          <w:rFonts w:ascii="Arial" w:hAnsi="Arial" w:cs="Arial"/>
          <w:b/>
          <w:color w:val="525556"/>
          <w:sz w:val="20"/>
          <w:lang w:val="de-DE"/>
        </w:rPr>
        <w:t xml:space="preserve">UROPÄISCHE SHOPPINGCENTERDICHTE </w:t>
      </w:r>
      <w:r w:rsidR="00496817">
        <w:rPr>
          <w:rFonts w:ascii="Arial" w:hAnsi="Arial" w:cs="Arial"/>
          <w:b/>
          <w:color w:val="525556"/>
          <w:sz w:val="20"/>
          <w:lang w:val="de-DE"/>
        </w:rPr>
        <w:t>– QUO VADIS</w:t>
      </w:r>
      <w:r w:rsidR="00256180">
        <w:rPr>
          <w:rFonts w:ascii="Arial" w:hAnsi="Arial" w:cs="Arial"/>
          <w:b/>
          <w:color w:val="525556"/>
          <w:sz w:val="20"/>
          <w:lang w:val="de-DE"/>
        </w:rPr>
        <w:t>?</w:t>
      </w:r>
    </w:p>
    <w:p w:rsidR="002F746F" w:rsidRPr="002F746F" w:rsidRDefault="0073403C" w:rsidP="0073403C">
      <w:pPr>
        <w:tabs>
          <w:tab w:val="left" w:pos="2145"/>
        </w:tabs>
        <w:rPr>
          <w:rFonts w:ascii="Arial" w:hAnsi="Arial" w:cs="Arial"/>
          <w:color w:val="525556"/>
          <w:lang w:val="de-DE"/>
        </w:rPr>
      </w:pPr>
      <w:r>
        <w:rPr>
          <w:rFonts w:ascii="Arial" w:hAnsi="Arial" w:cs="Arial"/>
          <w:color w:val="525556"/>
          <w:lang w:val="de-DE"/>
        </w:rPr>
        <w:tab/>
      </w:r>
    </w:p>
    <w:p w:rsidR="00C823BF" w:rsidRPr="00C40C05" w:rsidRDefault="00256180" w:rsidP="00C823BF">
      <w:pPr>
        <w:pStyle w:val="Beschriftung"/>
        <w:rPr>
          <w:rFonts w:ascii="Tahoma" w:hAnsi="Tahoma" w:cs="Tahoma"/>
          <w:b w:val="0"/>
          <w:color w:val="595959" w:themeColor="text1" w:themeTint="A6"/>
          <w:sz w:val="21"/>
          <w:szCs w:val="21"/>
          <w:lang w:val="de-DE"/>
        </w:rPr>
      </w:pPr>
      <w:r w:rsidRPr="00256180">
        <w:rPr>
          <w:rFonts w:ascii="Tahoma" w:hAnsi="Tahoma" w:cs="Tahoma"/>
          <w:b w:val="0"/>
          <w:noProof/>
          <w:color w:val="595959" w:themeColor="text1" w:themeTint="A6"/>
          <w:sz w:val="21"/>
          <w:szCs w:val="21"/>
          <w:lang w:eastAsia="de-AT"/>
        </w:rPr>
        <w:drawing>
          <wp:inline distT="0" distB="0" distL="0" distR="0" wp14:anchorId="0011A7AE" wp14:editId="4DE6C59C">
            <wp:extent cx="5760720" cy="3140652"/>
            <wp:effectExtent l="19050" t="19050" r="11430" b="222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140652"/>
                    </a:xfrm>
                    <a:prstGeom prst="rect">
                      <a:avLst/>
                    </a:prstGeom>
                    <a:ln w="3175">
                      <a:solidFill>
                        <a:schemeClr val="bg1">
                          <a:lumMod val="85000"/>
                        </a:schemeClr>
                      </a:solidFill>
                    </a:ln>
                  </pic:spPr>
                </pic:pic>
              </a:graphicData>
            </a:graphic>
          </wp:inline>
        </w:drawing>
      </w:r>
    </w:p>
    <w:p w:rsidR="00F16C06" w:rsidRPr="00F16C06" w:rsidRDefault="00F16C06" w:rsidP="00F16C06">
      <w:pPr>
        <w:spacing w:after="240" w:line="360" w:lineRule="auto"/>
        <w:rPr>
          <w:color w:val="595959" w:themeColor="text1" w:themeTint="A6"/>
        </w:rPr>
      </w:pPr>
    </w:p>
    <w:p w:rsidR="003D4E05" w:rsidRPr="003D4E05" w:rsidRDefault="0089256F" w:rsidP="0098102F">
      <w:pPr>
        <w:spacing w:line="360" w:lineRule="auto"/>
        <w:rPr>
          <w:rFonts w:ascii="Arial" w:hAnsi="Arial" w:cs="Arial"/>
          <w:sz w:val="20"/>
          <w:szCs w:val="20"/>
          <w:lang w:val="de-DE"/>
        </w:rPr>
      </w:pPr>
      <w:r>
        <w:rPr>
          <w:rFonts w:ascii="Arial" w:hAnsi="Arial" w:cs="Arial"/>
          <w:sz w:val="20"/>
          <w:szCs w:val="20"/>
          <w:lang w:val="de-DE"/>
        </w:rPr>
        <w:t>Die Shoppingc</w:t>
      </w:r>
      <w:r w:rsidR="003D4E05" w:rsidRPr="003D4E05">
        <w:rPr>
          <w:rFonts w:ascii="Arial" w:hAnsi="Arial" w:cs="Arial"/>
          <w:sz w:val="20"/>
          <w:szCs w:val="20"/>
          <w:lang w:val="de-DE"/>
        </w:rPr>
        <w:t>enter Landschaft sieht sich mit vielerlei Herausforderungen wie Marktsättigung, stagni</w:t>
      </w:r>
      <w:r w:rsidR="003D4E05" w:rsidRPr="003D4E05">
        <w:rPr>
          <w:rFonts w:ascii="Arial" w:hAnsi="Arial" w:cs="Arial"/>
          <w:sz w:val="20"/>
          <w:szCs w:val="20"/>
          <w:lang w:val="de-DE"/>
        </w:rPr>
        <w:t>e</w:t>
      </w:r>
      <w:r w:rsidR="003D4E05" w:rsidRPr="003D4E05">
        <w:rPr>
          <w:rFonts w:ascii="Arial" w:hAnsi="Arial" w:cs="Arial"/>
          <w:sz w:val="20"/>
          <w:szCs w:val="20"/>
          <w:lang w:val="de-DE"/>
        </w:rPr>
        <w:t xml:space="preserve">render Entwicklung, hohen Leerständen, häufigem Mieterwechsel sowie wachsender Konkurrenz durch den Onlinehandel konfrontiert. </w:t>
      </w:r>
    </w:p>
    <w:p w:rsidR="003D4E05" w:rsidRPr="003D4E05" w:rsidRDefault="003D4E05" w:rsidP="0098102F">
      <w:pPr>
        <w:spacing w:line="360" w:lineRule="auto"/>
        <w:rPr>
          <w:rFonts w:ascii="Arial" w:hAnsi="Arial" w:cs="Arial"/>
          <w:sz w:val="20"/>
          <w:szCs w:val="20"/>
        </w:rPr>
      </w:pPr>
      <w:r w:rsidRPr="003D4E05">
        <w:rPr>
          <w:rFonts w:ascii="Arial" w:hAnsi="Arial" w:cs="Arial"/>
          <w:sz w:val="20"/>
          <w:szCs w:val="20"/>
        </w:rPr>
        <w:t xml:space="preserve">Nun zeigt die europaweite Übersicht der </w:t>
      </w:r>
      <w:r w:rsidR="0089256F">
        <w:rPr>
          <w:rFonts w:ascii="Arial" w:hAnsi="Arial" w:cs="Arial"/>
          <w:sz w:val="20"/>
          <w:szCs w:val="20"/>
        </w:rPr>
        <w:t>Shoppingcenterdichte</w:t>
      </w:r>
      <w:r w:rsidRPr="003D4E05">
        <w:rPr>
          <w:rFonts w:ascii="Arial" w:hAnsi="Arial" w:cs="Arial"/>
          <w:sz w:val="20"/>
          <w:szCs w:val="20"/>
        </w:rPr>
        <w:t xml:space="preserve"> in m</w:t>
      </w:r>
      <w:r w:rsidRPr="003D4E05">
        <w:rPr>
          <w:rFonts w:ascii="Arial" w:hAnsi="Arial" w:cs="Arial"/>
          <w:sz w:val="20"/>
          <w:szCs w:val="20"/>
          <w:vertAlign w:val="superscript"/>
        </w:rPr>
        <w:t>2</w:t>
      </w:r>
      <w:r w:rsidRPr="003D4E05">
        <w:rPr>
          <w:rFonts w:ascii="Arial" w:hAnsi="Arial" w:cs="Arial"/>
          <w:sz w:val="20"/>
          <w:szCs w:val="20"/>
        </w:rPr>
        <w:t xml:space="preserve"> je Einwohner, genau auf, wie sich jene Shopping Center pro Land formiert haben. In dieser Hinsicht hebt sich besonders der No</w:t>
      </w:r>
      <w:r w:rsidRPr="003D4E05">
        <w:rPr>
          <w:rFonts w:ascii="Arial" w:hAnsi="Arial" w:cs="Arial"/>
          <w:sz w:val="20"/>
          <w:szCs w:val="20"/>
        </w:rPr>
        <w:t>r</w:t>
      </w:r>
      <w:r w:rsidRPr="003D4E05">
        <w:rPr>
          <w:rFonts w:ascii="Arial" w:hAnsi="Arial" w:cs="Arial"/>
          <w:sz w:val="20"/>
          <w:szCs w:val="20"/>
        </w:rPr>
        <w:t xml:space="preserve">den stark hervor, denn die </w:t>
      </w:r>
      <w:r w:rsidR="002036A2">
        <w:rPr>
          <w:rFonts w:ascii="Arial" w:hAnsi="Arial" w:cs="Arial"/>
          <w:sz w:val="20"/>
          <w:szCs w:val="20"/>
        </w:rPr>
        <w:t>mitunter höchste</w:t>
      </w:r>
      <w:r w:rsidRPr="003D4E05">
        <w:rPr>
          <w:rFonts w:ascii="Arial" w:hAnsi="Arial" w:cs="Arial"/>
          <w:sz w:val="20"/>
          <w:szCs w:val="20"/>
        </w:rPr>
        <w:t xml:space="preserve"> europäische Verkaufsflächendichte lässt sich auf skand</w:t>
      </w:r>
      <w:r w:rsidRPr="003D4E05">
        <w:rPr>
          <w:rFonts w:ascii="Arial" w:hAnsi="Arial" w:cs="Arial"/>
          <w:sz w:val="20"/>
          <w:szCs w:val="20"/>
        </w:rPr>
        <w:t>i</w:t>
      </w:r>
      <w:r w:rsidRPr="003D4E05">
        <w:rPr>
          <w:rFonts w:ascii="Arial" w:hAnsi="Arial" w:cs="Arial"/>
          <w:sz w:val="20"/>
          <w:szCs w:val="20"/>
        </w:rPr>
        <w:t xml:space="preserve">navischem Boden verzeichnen. </w:t>
      </w:r>
      <w:r w:rsidR="004116AF" w:rsidRPr="004116AF">
        <w:rPr>
          <w:rFonts w:ascii="Arial" w:hAnsi="Arial" w:cs="Arial"/>
          <w:sz w:val="20"/>
          <w:szCs w:val="20"/>
        </w:rPr>
        <w:t xml:space="preserve">An der </w:t>
      </w:r>
      <w:r w:rsidR="0098102F">
        <w:rPr>
          <w:rFonts w:ascii="Arial" w:hAnsi="Arial" w:cs="Arial"/>
          <w:sz w:val="20"/>
          <w:szCs w:val="20"/>
        </w:rPr>
        <w:t>aktuell unangefochtenen</w:t>
      </w:r>
      <w:r w:rsidR="004116AF">
        <w:rPr>
          <w:rFonts w:ascii="Arial" w:hAnsi="Arial" w:cs="Arial"/>
          <w:sz w:val="20"/>
          <w:szCs w:val="20"/>
        </w:rPr>
        <w:t xml:space="preserve"> </w:t>
      </w:r>
      <w:r w:rsidR="004116AF" w:rsidRPr="004116AF">
        <w:rPr>
          <w:rFonts w:ascii="Arial" w:hAnsi="Arial" w:cs="Arial"/>
          <w:sz w:val="20"/>
          <w:szCs w:val="20"/>
        </w:rPr>
        <w:t>Rangspitze befindet sich</w:t>
      </w:r>
      <w:r w:rsidR="002036A2">
        <w:rPr>
          <w:rFonts w:ascii="Arial" w:hAnsi="Arial" w:cs="Arial"/>
          <w:sz w:val="20"/>
          <w:szCs w:val="20"/>
        </w:rPr>
        <w:t xml:space="preserve"> allerdings Monaco mit einer Verkaufsfläche von 1,6 m</w:t>
      </w:r>
      <w:r w:rsidR="002036A2" w:rsidRPr="002036A2">
        <w:rPr>
          <w:rFonts w:ascii="Arial" w:hAnsi="Arial" w:cs="Arial"/>
          <w:sz w:val="20"/>
          <w:szCs w:val="20"/>
          <w:vertAlign w:val="superscript"/>
        </w:rPr>
        <w:t>2</w:t>
      </w:r>
      <w:r w:rsidR="00835C3A">
        <w:rPr>
          <w:rFonts w:ascii="Arial" w:hAnsi="Arial" w:cs="Arial"/>
          <w:sz w:val="20"/>
          <w:szCs w:val="20"/>
        </w:rPr>
        <w:t xml:space="preserve"> pro Einwohner, gefolgt von Schweden und Norwegen mit einer Shopping Mall Dichte von 0,9 m</w:t>
      </w:r>
      <w:r w:rsidR="00835C3A" w:rsidRPr="00835C3A">
        <w:rPr>
          <w:rFonts w:ascii="Arial" w:hAnsi="Arial" w:cs="Arial"/>
          <w:sz w:val="20"/>
          <w:szCs w:val="20"/>
          <w:vertAlign w:val="superscript"/>
        </w:rPr>
        <w:t>2</w:t>
      </w:r>
      <w:r w:rsidR="00835C3A">
        <w:rPr>
          <w:rFonts w:ascii="Arial" w:hAnsi="Arial" w:cs="Arial"/>
          <w:sz w:val="20"/>
          <w:szCs w:val="20"/>
        </w:rPr>
        <w:t>.</w:t>
      </w:r>
      <w:r w:rsidR="00D32E51">
        <w:rPr>
          <w:rFonts w:ascii="Arial" w:hAnsi="Arial" w:cs="Arial"/>
          <w:sz w:val="20"/>
          <w:szCs w:val="20"/>
        </w:rPr>
        <w:t xml:space="preserve"> </w:t>
      </w:r>
      <w:r w:rsidR="005377D2">
        <w:rPr>
          <w:rFonts w:ascii="Arial" w:hAnsi="Arial" w:cs="Arial"/>
          <w:sz w:val="20"/>
          <w:szCs w:val="20"/>
        </w:rPr>
        <w:t>Zusammen mit Finnland</w:t>
      </w:r>
      <w:r w:rsidRPr="003D4E05">
        <w:rPr>
          <w:rFonts w:ascii="Arial" w:hAnsi="Arial" w:cs="Arial"/>
          <w:sz w:val="20"/>
          <w:szCs w:val="20"/>
        </w:rPr>
        <w:t xml:space="preserve"> befindet sich die durchschnittlich zu vermietbare Fläche des </w:t>
      </w:r>
      <w:r w:rsidR="00D32E51">
        <w:rPr>
          <w:rFonts w:ascii="Arial" w:hAnsi="Arial" w:cs="Arial"/>
          <w:sz w:val="20"/>
          <w:szCs w:val="20"/>
        </w:rPr>
        <w:t>skandinavischen</w:t>
      </w:r>
      <w:r w:rsidRPr="003D4E05">
        <w:rPr>
          <w:rFonts w:ascii="Arial" w:hAnsi="Arial" w:cs="Arial"/>
          <w:sz w:val="20"/>
          <w:szCs w:val="20"/>
        </w:rPr>
        <w:t xml:space="preserve"> Trios zwischen 16.000 und </w:t>
      </w:r>
      <w:r w:rsidR="00D43082">
        <w:rPr>
          <w:rFonts w:ascii="Arial" w:hAnsi="Arial" w:cs="Arial"/>
          <w:sz w:val="20"/>
          <w:szCs w:val="20"/>
        </w:rPr>
        <w:t>22</w:t>
      </w:r>
      <w:r w:rsidRPr="003D4E05">
        <w:rPr>
          <w:rFonts w:ascii="Arial" w:hAnsi="Arial" w:cs="Arial"/>
          <w:sz w:val="20"/>
          <w:szCs w:val="20"/>
        </w:rPr>
        <w:t>.000 m</w:t>
      </w:r>
      <w:r w:rsidRPr="008300A7">
        <w:rPr>
          <w:rFonts w:ascii="Arial" w:hAnsi="Arial" w:cs="Arial"/>
          <w:sz w:val="20"/>
          <w:szCs w:val="20"/>
          <w:vertAlign w:val="superscript"/>
        </w:rPr>
        <w:t>2</w:t>
      </w:r>
      <w:r w:rsidRPr="003D4E05">
        <w:rPr>
          <w:rFonts w:ascii="Arial" w:hAnsi="Arial" w:cs="Arial"/>
          <w:sz w:val="20"/>
          <w:szCs w:val="20"/>
        </w:rPr>
        <w:t xml:space="preserve">. </w:t>
      </w:r>
    </w:p>
    <w:p w:rsidR="000E5216" w:rsidRDefault="003D4E05" w:rsidP="0098102F">
      <w:pPr>
        <w:spacing w:line="360" w:lineRule="auto"/>
        <w:rPr>
          <w:rFonts w:ascii="Arial" w:hAnsi="Arial" w:cs="Arial"/>
          <w:sz w:val="20"/>
          <w:szCs w:val="20"/>
        </w:rPr>
      </w:pPr>
      <w:r w:rsidRPr="003D4E05">
        <w:rPr>
          <w:rFonts w:ascii="Arial" w:hAnsi="Arial" w:cs="Arial"/>
          <w:sz w:val="20"/>
          <w:szCs w:val="20"/>
        </w:rPr>
        <w:t xml:space="preserve">Dieser regelrechte „Boom der nördlichen Handelszonen“ ist unter anderem auf die vorherrschenden klimatischen Bedingungen Nordeuropas sowie einen, im direkten europäischen Vergleich, geringeren </w:t>
      </w:r>
    </w:p>
    <w:p w:rsidR="000E5216" w:rsidRDefault="000E5216" w:rsidP="0098102F">
      <w:pPr>
        <w:spacing w:line="360" w:lineRule="auto"/>
        <w:rPr>
          <w:rFonts w:ascii="Arial" w:hAnsi="Arial" w:cs="Arial"/>
          <w:sz w:val="20"/>
          <w:szCs w:val="20"/>
        </w:rPr>
      </w:pPr>
    </w:p>
    <w:p w:rsidR="000E5216" w:rsidRDefault="000E5216" w:rsidP="0098102F">
      <w:pPr>
        <w:spacing w:line="360" w:lineRule="auto"/>
        <w:rPr>
          <w:rFonts w:ascii="Arial" w:hAnsi="Arial" w:cs="Arial"/>
          <w:sz w:val="20"/>
          <w:szCs w:val="20"/>
        </w:rPr>
      </w:pPr>
    </w:p>
    <w:p w:rsidR="000E5216" w:rsidRDefault="000E5216" w:rsidP="0098102F">
      <w:pPr>
        <w:spacing w:line="360" w:lineRule="auto"/>
        <w:rPr>
          <w:rFonts w:ascii="Arial" w:hAnsi="Arial" w:cs="Arial"/>
          <w:sz w:val="20"/>
          <w:szCs w:val="20"/>
        </w:rPr>
      </w:pPr>
    </w:p>
    <w:p w:rsidR="00067B8D" w:rsidRDefault="003D4E05" w:rsidP="0098102F">
      <w:pPr>
        <w:spacing w:line="360" w:lineRule="auto"/>
        <w:rPr>
          <w:rFonts w:ascii="Arial" w:hAnsi="Arial" w:cs="Arial"/>
          <w:sz w:val="20"/>
          <w:szCs w:val="20"/>
        </w:rPr>
      </w:pPr>
      <w:r w:rsidRPr="003D4E05">
        <w:rPr>
          <w:rFonts w:ascii="Arial" w:hAnsi="Arial" w:cs="Arial"/>
          <w:sz w:val="20"/>
          <w:szCs w:val="20"/>
        </w:rPr>
        <w:t>Stadtraum zurückzuführen. Im umgekehrten Fall kann Griechenland</w:t>
      </w:r>
      <w:r w:rsidR="000E5216">
        <w:rPr>
          <w:rFonts w:ascii="Arial" w:hAnsi="Arial" w:cs="Arial"/>
          <w:sz w:val="20"/>
          <w:szCs w:val="20"/>
        </w:rPr>
        <w:t xml:space="preserve"> mit seinen zahlreich verstreuten</w:t>
      </w:r>
      <w:r w:rsidRPr="003D4E05">
        <w:rPr>
          <w:rFonts w:ascii="Arial" w:hAnsi="Arial" w:cs="Arial"/>
          <w:sz w:val="20"/>
          <w:szCs w:val="20"/>
        </w:rPr>
        <w:t xml:space="preserve"> Inseln </w:t>
      </w:r>
      <w:r w:rsidR="000E5216">
        <w:rPr>
          <w:rFonts w:ascii="Arial" w:hAnsi="Arial" w:cs="Arial"/>
          <w:sz w:val="20"/>
          <w:szCs w:val="20"/>
        </w:rPr>
        <w:t xml:space="preserve">in </w:t>
      </w:r>
      <w:r w:rsidR="00892BC8">
        <w:rPr>
          <w:rFonts w:ascii="Arial" w:hAnsi="Arial" w:cs="Arial"/>
          <w:sz w:val="20"/>
          <w:szCs w:val="20"/>
        </w:rPr>
        <w:t>puncto Verkaufsflächendichte nicht</w:t>
      </w:r>
      <w:r w:rsidRPr="003D4E05">
        <w:rPr>
          <w:rFonts w:ascii="Arial" w:hAnsi="Arial" w:cs="Arial"/>
          <w:sz w:val="20"/>
          <w:szCs w:val="20"/>
        </w:rPr>
        <w:t xml:space="preserve"> mithalten und weist daher europaweit mitunter </w:t>
      </w:r>
      <w:r w:rsidR="008315CC">
        <w:rPr>
          <w:rFonts w:ascii="Arial" w:hAnsi="Arial" w:cs="Arial"/>
          <w:sz w:val="20"/>
          <w:szCs w:val="20"/>
        </w:rPr>
        <w:t>den nie</w:t>
      </w:r>
      <w:r w:rsidR="008315CC">
        <w:rPr>
          <w:rFonts w:ascii="Arial" w:hAnsi="Arial" w:cs="Arial"/>
          <w:sz w:val="20"/>
          <w:szCs w:val="20"/>
        </w:rPr>
        <w:t>d</w:t>
      </w:r>
      <w:r w:rsidR="008315CC">
        <w:rPr>
          <w:rFonts w:ascii="Arial" w:hAnsi="Arial" w:cs="Arial"/>
          <w:sz w:val="20"/>
          <w:szCs w:val="20"/>
        </w:rPr>
        <w:t>rigsten Wert vor.</w:t>
      </w:r>
    </w:p>
    <w:p w:rsidR="00AD7C80" w:rsidRDefault="003D4E05" w:rsidP="0098102F">
      <w:pPr>
        <w:spacing w:line="360" w:lineRule="auto"/>
        <w:rPr>
          <w:rFonts w:ascii="Arial" w:hAnsi="Arial" w:cs="Arial"/>
          <w:sz w:val="20"/>
          <w:szCs w:val="20"/>
        </w:rPr>
      </w:pPr>
      <w:r w:rsidRPr="003D4E05">
        <w:rPr>
          <w:rFonts w:ascii="Arial" w:hAnsi="Arial" w:cs="Arial"/>
          <w:sz w:val="20"/>
          <w:szCs w:val="20"/>
        </w:rPr>
        <w:t xml:space="preserve">Neben dem </w:t>
      </w:r>
      <w:r w:rsidR="008315CC">
        <w:rPr>
          <w:rFonts w:ascii="Arial" w:hAnsi="Arial" w:cs="Arial"/>
          <w:sz w:val="20"/>
          <w:szCs w:val="20"/>
        </w:rPr>
        <w:t>topografischen Faktor spielt auch die</w:t>
      </w:r>
      <w:r w:rsidRPr="003D4E05">
        <w:rPr>
          <w:rFonts w:ascii="Arial" w:hAnsi="Arial" w:cs="Arial"/>
          <w:sz w:val="20"/>
          <w:szCs w:val="20"/>
        </w:rPr>
        <w:t xml:space="preserve"> Kaufkraft eine wesentliche Rolle bei der Deutung der Verkaufsflächendichte. Kaufkräftige Länder, besonders Österreich, die Schweiz sowie</w:t>
      </w:r>
      <w:r w:rsidR="00826541">
        <w:rPr>
          <w:rFonts w:ascii="Arial" w:hAnsi="Arial" w:cs="Arial"/>
          <w:sz w:val="20"/>
          <w:szCs w:val="20"/>
        </w:rPr>
        <w:t xml:space="preserve"> Luxemburg, weisen mit 0,4 bis 0,</w:t>
      </w:r>
      <w:r w:rsidR="00D43082">
        <w:rPr>
          <w:rFonts w:ascii="Arial" w:hAnsi="Arial" w:cs="Arial"/>
          <w:sz w:val="20"/>
          <w:szCs w:val="20"/>
        </w:rPr>
        <w:t xml:space="preserve">9 </w:t>
      </w:r>
      <w:r w:rsidR="00826541">
        <w:rPr>
          <w:rFonts w:ascii="Arial" w:hAnsi="Arial" w:cs="Arial"/>
          <w:sz w:val="20"/>
          <w:szCs w:val="20"/>
        </w:rPr>
        <w:t>m</w:t>
      </w:r>
      <w:r w:rsidR="00826541" w:rsidRPr="00826541">
        <w:rPr>
          <w:rFonts w:ascii="Arial" w:hAnsi="Arial" w:cs="Arial"/>
          <w:sz w:val="20"/>
          <w:szCs w:val="20"/>
          <w:vertAlign w:val="superscript"/>
        </w:rPr>
        <w:t>2</w:t>
      </w:r>
      <w:r w:rsidR="00826541">
        <w:rPr>
          <w:rFonts w:ascii="Arial" w:hAnsi="Arial" w:cs="Arial"/>
          <w:sz w:val="20"/>
          <w:szCs w:val="20"/>
        </w:rPr>
        <w:t xml:space="preserve"> Verkaufsfläche pro Einwohner ebenfalls eine durchschnittlich höhere</w:t>
      </w:r>
      <w:r w:rsidR="0089256F">
        <w:rPr>
          <w:rFonts w:ascii="Arial" w:hAnsi="Arial" w:cs="Arial"/>
          <w:sz w:val="20"/>
          <w:szCs w:val="20"/>
        </w:rPr>
        <w:t xml:space="preserve"> Sho</w:t>
      </w:r>
      <w:r w:rsidR="0089256F">
        <w:rPr>
          <w:rFonts w:ascii="Arial" w:hAnsi="Arial" w:cs="Arial"/>
          <w:sz w:val="20"/>
          <w:szCs w:val="20"/>
        </w:rPr>
        <w:t>p</w:t>
      </w:r>
      <w:r w:rsidR="0089256F">
        <w:rPr>
          <w:rFonts w:ascii="Arial" w:hAnsi="Arial" w:cs="Arial"/>
          <w:sz w:val="20"/>
          <w:szCs w:val="20"/>
        </w:rPr>
        <w:t xml:space="preserve">pingcenterdichte </w:t>
      </w:r>
      <w:r w:rsidR="00AD7C80">
        <w:rPr>
          <w:rFonts w:ascii="Arial" w:hAnsi="Arial" w:cs="Arial"/>
          <w:sz w:val="20"/>
          <w:szCs w:val="20"/>
        </w:rPr>
        <w:t xml:space="preserve">auf. </w:t>
      </w:r>
      <w:r w:rsidR="00D43082" w:rsidRPr="00D43082">
        <w:rPr>
          <w:rFonts w:ascii="Arial" w:hAnsi="Arial" w:cs="Arial"/>
          <w:sz w:val="20"/>
          <w:szCs w:val="20"/>
        </w:rPr>
        <w:t>Dabei werden österreichische Einkaufszentren im Schnitt mit einer kommerzie</w:t>
      </w:r>
      <w:r w:rsidR="00D43082" w:rsidRPr="00D43082">
        <w:rPr>
          <w:rFonts w:ascii="Arial" w:hAnsi="Arial" w:cs="Arial"/>
          <w:sz w:val="20"/>
          <w:szCs w:val="20"/>
        </w:rPr>
        <w:t>l</w:t>
      </w:r>
      <w:r w:rsidR="00D43082" w:rsidRPr="00D43082">
        <w:rPr>
          <w:rFonts w:ascii="Arial" w:hAnsi="Arial" w:cs="Arial"/>
          <w:sz w:val="20"/>
          <w:szCs w:val="20"/>
        </w:rPr>
        <w:t>len Fläche von 19.000 m</w:t>
      </w:r>
      <w:r w:rsidR="00D43082" w:rsidRPr="00A6002B">
        <w:rPr>
          <w:rFonts w:ascii="Arial" w:hAnsi="Arial" w:cs="Arial"/>
          <w:sz w:val="20"/>
          <w:szCs w:val="20"/>
          <w:vertAlign w:val="superscript"/>
        </w:rPr>
        <w:t>2</w:t>
      </w:r>
      <w:r w:rsidR="00D43082" w:rsidRPr="00D43082">
        <w:rPr>
          <w:rFonts w:ascii="Arial" w:hAnsi="Arial" w:cs="Arial"/>
          <w:sz w:val="20"/>
          <w:szCs w:val="20"/>
        </w:rPr>
        <w:t xml:space="preserve"> versehen. Schweizer Malls sind mit durchschnittlich 14.000 m</w:t>
      </w:r>
      <w:r w:rsidR="00D43082" w:rsidRPr="00A6002B">
        <w:rPr>
          <w:rFonts w:ascii="Arial" w:hAnsi="Arial" w:cs="Arial"/>
          <w:sz w:val="20"/>
          <w:szCs w:val="20"/>
          <w:vertAlign w:val="superscript"/>
        </w:rPr>
        <w:t>2</w:t>
      </w:r>
      <w:r w:rsidR="00D43082" w:rsidRPr="00D43082">
        <w:rPr>
          <w:rFonts w:ascii="Arial" w:hAnsi="Arial" w:cs="Arial"/>
          <w:sz w:val="20"/>
          <w:szCs w:val="20"/>
        </w:rPr>
        <w:t xml:space="preserve"> schon etwas kleiner</w:t>
      </w:r>
      <w:r w:rsidR="00AD7C80">
        <w:rPr>
          <w:rFonts w:ascii="Arial" w:hAnsi="Arial" w:cs="Arial"/>
          <w:sz w:val="20"/>
          <w:szCs w:val="20"/>
        </w:rPr>
        <w:t>.</w:t>
      </w:r>
    </w:p>
    <w:p w:rsidR="003D4E05" w:rsidRPr="003D4E05" w:rsidRDefault="003D4E05" w:rsidP="0098102F">
      <w:pPr>
        <w:spacing w:line="360" w:lineRule="auto"/>
        <w:rPr>
          <w:rFonts w:ascii="Arial" w:hAnsi="Arial" w:cs="Arial"/>
          <w:sz w:val="20"/>
          <w:szCs w:val="20"/>
        </w:rPr>
      </w:pPr>
      <w:r w:rsidRPr="003D4E05">
        <w:rPr>
          <w:rFonts w:ascii="Arial" w:hAnsi="Arial" w:cs="Arial"/>
          <w:sz w:val="20"/>
          <w:szCs w:val="20"/>
        </w:rPr>
        <w:t>Demnach können sich vor allem Nord- und Zentraleuropa als Shopping Mall Spitzenreiter positioni</w:t>
      </w:r>
      <w:r w:rsidRPr="003D4E05">
        <w:rPr>
          <w:rFonts w:ascii="Arial" w:hAnsi="Arial" w:cs="Arial"/>
          <w:sz w:val="20"/>
          <w:szCs w:val="20"/>
        </w:rPr>
        <w:t>e</w:t>
      </w:r>
      <w:r w:rsidRPr="003D4E05">
        <w:rPr>
          <w:rFonts w:ascii="Arial" w:hAnsi="Arial" w:cs="Arial"/>
          <w:sz w:val="20"/>
          <w:szCs w:val="20"/>
        </w:rPr>
        <w:t>ren.</w:t>
      </w:r>
      <w:r w:rsidR="00AD7C80">
        <w:rPr>
          <w:rFonts w:ascii="Arial" w:hAnsi="Arial" w:cs="Arial"/>
          <w:sz w:val="20"/>
          <w:szCs w:val="20"/>
        </w:rPr>
        <w:t xml:space="preserve"> </w:t>
      </w:r>
      <w:r w:rsidRPr="003D4E05">
        <w:rPr>
          <w:rFonts w:ascii="Arial" w:hAnsi="Arial" w:cs="Arial"/>
          <w:sz w:val="20"/>
          <w:szCs w:val="20"/>
        </w:rPr>
        <w:t xml:space="preserve">Deutlich überraschender </w:t>
      </w:r>
      <w:r w:rsidR="000C7483">
        <w:rPr>
          <w:rFonts w:ascii="Arial" w:hAnsi="Arial" w:cs="Arial"/>
          <w:sz w:val="20"/>
          <w:szCs w:val="20"/>
        </w:rPr>
        <w:t xml:space="preserve">hingegen, </w:t>
      </w:r>
      <w:proofErr w:type="gramStart"/>
      <w:r w:rsidR="0089256F">
        <w:rPr>
          <w:rFonts w:ascii="Arial" w:hAnsi="Arial" w:cs="Arial"/>
          <w:sz w:val="20"/>
          <w:szCs w:val="20"/>
        </w:rPr>
        <w:t>ist</w:t>
      </w:r>
      <w:proofErr w:type="gramEnd"/>
      <w:r w:rsidR="0089256F">
        <w:rPr>
          <w:rFonts w:ascii="Arial" w:hAnsi="Arial" w:cs="Arial"/>
          <w:sz w:val="20"/>
          <w:szCs w:val="20"/>
        </w:rPr>
        <w:t xml:space="preserve"> die Shoppingc</w:t>
      </w:r>
      <w:r w:rsidRPr="003D4E05">
        <w:rPr>
          <w:rFonts w:ascii="Arial" w:hAnsi="Arial" w:cs="Arial"/>
          <w:sz w:val="20"/>
          <w:szCs w:val="20"/>
        </w:rPr>
        <w:t>enter Expansion Kroatiens. Mit einer ve</w:t>
      </w:r>
      <w:r w:rsidRPr="003D4E05">
        <w:rPr>
          <w:rFonts w:ascii="Arial" w:hAnsi="Arial" w:cs="Arial"/>
          <w:sz w:val="20"/>
          <w:szCs w:val="20"/>
        </w:rPr>
        <w:t>r</w:t>
      </w:r>
      <w:r w:rsidRPr="003D4E05">
        <w:rPr>
          <w:rFonts w:ascii="Arial" w:hAnsi="Arial" w:cs="Arial"/>
          <w:sz w:val="20"/>
          <w:szCs w:val="20"/>
        </w:rPr>
        <w:t xml:space="preserve">gleichsweise niedrigeren Kaufkraft im mitteleuropäischen Raum, spielt Kroatien dennoch im oberen Mittelfeld der europäischen Verkaufsflächendichte mit. </w:t>
      </w:r>
    </w:p>
    <w:p w:rsidR="003D4E05" w:rsidRPr="003D4E05" w:rsidRDefault="003D4E05" w:rsidP="0098102F">
      <w:pPr>
        <w:spacing w:line="360" w:lineRule="auto"/>
        <w:rPr>
          <w:rFonts w:ascii="Arial" w:hAnsi="Arial" w:cs="Arial"/>
          <w:sz w:val="20"/>
          <w:szCs w:val="20"/>
        </w:rPr>
      </w:pPr>
      <w:r w:rsidRPr="003D4E05">
        <w:rPr>
          <w:rFonts w:ascii="Arial" w:hAnsi="Arial" w:cs="Arial"/>
          <w:sz w:val="20"/>
          <w:szCs w:val="20"/>
        </w:rPr>
        <w:t>Am Ende der Kette befinden sich kaufkraftärmere Volkswirtschaften, vor allem in Südeuropa, wie A</w:t>
      </w:r>
      <w:r w:rsidRPr="003D4E05">
        <w:rPr>
          <w:rFonts w:ascii="Arial" w:hAnsi="Arial" w:cs="Arial"/>
          <w:sz w:val="20"/>
          <w:szCs w:val="20"/>
        </w:rPr>
        <w:t>l</w:t>
      </w:r>
      <w:r w:rsidRPr="003D4E05">
        <w:rPr>
          <w:rFonts w:ascii="Arial" w:hAnsi="Arial" w:cs="Arial"/>
          <w:sz w:val="20"/>
          <w:szCs w:val="20"/>
        </w:rPr>
        <w:t xml:space="preserve">banien, </w:t>
      </w:r>
      <w:r w:rsidR="003B7ADC">
        <w:rPr>
          <w:rFonts w:ascii="Arial" w:hAnsi="Arial" w:cs="Arial"/>
          <w:sz w:val="20"/>
          <w:szCs w:val="20"/>
        </w:rPr>
        <w:t>Moldawien sowie die Türkei.</w:t>
      </w:r>
    </w:p>
    <w:p w:rsidR="00816D26" w:rsidRDefault="00C9426F" w:rsidP="0098102F">
      <w:pPr>
        <w:spacing w:line="360" w:lineRule="auto"/>
        <w:rPr>
          <w:rFonts w:ascii="Arial" w:hAnsi="Arial" w:cs="Arial"/>
          <w:sz w:val="20"/>
          <w:szCs w:val="20"/>
        </w:rPr>
      </w:pPr>
      <w:r w:rsidRPr="00C9426F">
        <w:rPr>
          <w:rFonts w:ascii="Arial" w:hAnsi="Arial" w:cs="Arial"/>
          <w:sz w:val="20"/>
          <w:szCs w:val="20"/>
        </w:rPr>
        <w:t xml:space="preserve">Dass die Einkaufszentren-Reise selbst von Corona nicht gänzlich bezwungen werden kann, lässt sich im Hinblick auf die jüngste Vergangenheit sehr wohl bestätigen. Der Blick in die Zukunft hebt </w:t>
      </w:r>
      <w:r w:rsidR="0089256F">
        <w:rPr>
          <w:rFonts w:ascii="Arial" w:hAnsi="Arial" w:cs="Arial"/>
          <w:sz w:val="20"/>
          <w:szCs w:val="20"/>
        </w:rPr>
        <w:t>jedoch</w:t>
      </w:r>
      <w:r w:rsidRPr="00C9426F">
        <w:rPr>
          <w:rFonts w:ascii="Arial" w:hAnsi="Arial" w:cs="Arial"/>
          <w:sz w:val="20"/>
          <w:szCs w:val="20"/>
        </w:rPr>
        <w:t xml:space="preserve"> ein Schlagwort ganz besonders hervor: Optimier</w:t>
      </w:r>
      <w:r w:rsidR="000C7483">
        <w:rPr>
          <w:rFonts w:ascii="Arial" w:hAnsi="Arial" w:cs="Arial"/>
          <w:sz w:val="20"/>
          <w:szCs w:val="20"/>
        </w:rPr>
        <w:t xml:space="preserve">ung. </w:t>
      </w:r>
    </w:p>
    <w:p w:rsidR="0089256F" w:rsidRPr="0089256F" w:rsidRDefault="0089256F" w:rsidP="0098102F">
      <w:pPr>
        <w:spacing w:line="360" w:lineRule="auto"/>
        <w:rPr>
          <w:rFonts w:ascii="Arial" w:hAnsi="Arial" w:cs="Arial"/>
          <w:sz w:val="20"/>
          <w:szCs w:val="20"/>
        </w:rPr>
      </w:pPr>
      <w:r w:rsidRPr="0089256F">
        <w:rPr>
          <w:rFonts w:ascii="Arial" w:hAnsi="Arial" w:cs="Arial"/>
          <w:sz w:val="20"/>
          <w:szCs w:val="20"/>
        </w:rPr>
        <w:t>Zukünftig sollten Shopping Malls zu einem ganzheitlichen Erlebnis umfunktioniert und dabei die stark ausgeprägte Assoziation mit dem Handel, zumindest teilweise, in den Hintergrund gerückt werden. Mit diesem Schritt werden zwar generationentiefe Wurzeln aufgelockert und die Grenzen der Einkauf</w:t>
      </w:r>
      <w:r w:rsidRPr="0089256F">
        <w:rPr>
          <w:rFonts w:ascii="Arial" w:hAnsi="Arial" w:cs="Arial"/>
          <w:sz w:val="20"/>
          <w:szCs w:val="20"/>
        </w:rPr>
        <w:t>s</w:t>
      </w:r>
      <w:r w:rsidRPr="0089256F">
        <w:rPr>
          <w:rFonts w:ascii="Arial" w:hAnsi="Arial" w:cs="Arial"/>
          <w:sz w:val="20"/>
          <w:szCs w:val="20"/>
        </w:rPr>
        <w:t>zentren neu definiert, allerdings auch praktisch umgemünzt, um daraus eine neue und generatione</w:t>
      </w:r>
      <w:r w:rsidRPr="0089256F">
        <w:rPr>
          <w:rFonts w:ascii="Arial" w:hAnsi="Arial" w:cs="Arial"/>
          <w:sz w:val="20"/>
          <w:szCs w:val="20"/>
        </w:rPr>
        <w:t>n</w:t>
      </w:r>
      <w:r w:rsidRPr="0089256F">
        <w:rPr>
          <w:rFonts w:ascii="Arial" w:hAnsi="Arial" w:cs="Arial"/>
          <w:sz w:val="20"/>
          <w:szCs w:val="20"/>
        </w:rPr>
        <w:t xml:space="preserve">übergreifend adäquatere Quelle des Freizeit- und Handelserlebnisses zu schöpfen. Genug Platz zur Prosperität ist definitiv gegeben. </w:t>
      </w:r>
    </w:p>
    <w:p w:rsidR="006B0B6D" w:rsidRDefault="006B0B6D" w:rsidP="0098102F">
      <w:pPr>
        <w:jc w:val="center"/>
        <w:rPr>
          <w:lang w:val="de-DE"/>
        </w:rPr>
      </w:pPr>
    </w:p>
    <w:p w:rsidR="006B0B6D" w:rsidRPr="006B0B6D" w:rsidRDefault="006B0B6D">
      <w:pPr>
        <w:rPr>
          <w:i/>
          <w:lang w:val="de-DE"/>
        </w:rPr>
      </w:pPr>
    </w:p>
    <w:p w:rsidR="006B0B6D" w:rsidRPr="006B0B6D" w:rsidRDefault="006B0B6D" w:rsidP="006B0B6D">
      <w:pPr>
        <w:spacing w:after="240" w:line="360" w:lineRule="auto"/>
        <w:jc w:val="center"/>
        <w:rPr>
          <w:rFonts w:ascii="Arial" w:hAnsi="Arial" w:cs="Arial"/>
          <w:i/>
          <w:sz w:val="20"/>
          <w:szCs w:val="20"/>
        </w:rPr>
      </w:pPr>
      <w:r w:rsidRPr="006B0B6D">
        <w:rPr>
          <w:rFonts w:ascii="Arial" w:hAnsi="Arial" w:cs="Arial"/>
          <w:i/>
          <w:sz w:val="20"/>
          <w:szCs w:val="20"/>
        </w:rPr>
        <w:t xml:space="preserve">Quelle: </w:t>
      </w:r>
      <w:r w:rsidRPr="006B0B6D">
        <w:rPr>
          <w:rFonts w:ascii="Arial" w:hAnsi="Arial" w:cs="Arial"/>
          <w:b/>
          <w:i/>
          <w:sz w:val="20"/>
          <w:szCs w:val="20"/>
        </w:rPr>
        <w:t>RegioData Research GmbH</w:t>
      </w:r>
      <w:r w:rsidRPr="006B0B6D">
        <w:rPr>
          <w:rFonts w:ascii="Arial" w:hAnsi="Arial" w:cs="Arial"/>
          <w:i/>
          <w:sz w:val="20"/>
          <w:szCs w:val="20"/>
        </w:rPr>
        <w:t xml:space="preserve"> </w:t>
      </w:r>
      <w:r w:rsidR="000E1420">
        <w:rPr>
          <w:rFonts w:ascii="Arial" w:hAnsi="Arial" w:cs="Arial"/>
          <w:i/>
          <w:sz w:val="20"/>
          <w:szCs w:val="20"/>
        </w:rPr>
        <w:t>–</w:t>
      </w:r>
      <w:r w:rsidRPr="006B0B6D">
        <w:rPr>
          <w:rFonts w:ascii="Arial" w:hAnsi="Arial" w:cs="Arial"/>
          <w:i/>
          <w:sz w:val="20"/>
          <w:szCs w:val="20"/>
        </w:rPr>
        <w:t xml:space="preserve"> </w:t>
      </w:r>
      <w:r w:rsidR="000E1420">
        <w:rPr>
          <w:rFonts w:ascii="Arial" w:hAnsi="Arial" w:cs="Arial"/>
          <w:i/>
          <w:sz w:val="20"/>
          <w:szCs w:val="20"/>
        </w:rPr>
        <w:t>Shopping Center Collection Europa</w:t>
      </w:r>
    </w:p>
    <w:p w:rsidR="006B0B6D" w:rsidRPr="006B0B6D" w:rsidRDefault="006B0B6D" w:rsidP="006B0B6D">
      <w:pPr>
        <w:jc w:val="center"/>
        <w:rPr>
          <w:rFonts w:ascii="Arial" w:hAnsi="Arial" w:cs="Arial"/>
          <w:i/>
          <w:sz w:val="20"/>
          <w:szCs w:val="20"/>
        </w:rPr>
      </w:pPr>
      <w:r>
        <w:rPr>
          <w:rFonts w:ascii="Arial" w:hAnsi="Arial" w:cs="Arial"/>
          <w:i/>
          <w:sz w:val="20"/>
          <w:szCs w:val="20"/>
          <w:lang w:val="de-DE"/>
        </w:rPr>
        <w:t xml:space="preserve">Stand: </w:t>
      </w:r>
      <w:r w:rsidRPr="006B0B6D">
        <w:rPr>
          <w:rFonts w:ascii="Arial" w:hAnsi="Arial" w:cs="Arial"/>
          <w:i/>
          <w:sz w:val="20"/>
          <w:szCs w:val="20"/>
          <w:lang w:val="de-DE"/>
        </w:rPr>
        <w:t>01/2022</w:t>
      </w:r>
    </w:p>
    <w:p w:rsidR="00FD1C75" w:rsidRPr="00C823BF" w:rsidRDefault="00FD1C75">
      <w:pPr>
        <w:rPr>
          <w:lang w:val="de-DE"/>
        </w:rPr>
      </w:pPr>
    </w:p>
    <w:sectPr w:rsidR="00FD1C75" w:rsidRPr="00C823BF" w:rsidSect="0073403C">
      <w:headerReference w:type="default" r:id="rId9"/>
      <w:footerReference w:type="default" r:id="rId10"/>
      <w:headerReference w:type="first" r:id="rId11"/>
      <w:footerReference w:type="first" r:id="rId12"/>
      <w:pgSz w:w="11906" w:h="16838"/>
      <w:pgMar w:top="1701" w:right="1417" w:bottom="1134" w:left="1417" w:header="708" w:footer="4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0F" w:rsidRDefault="00F71A0F" w:rsidP="00F71A0F">
      <w:pPr>
        <w:spacing w:after="0" w:line="240" w:lineRule="auto"/>
      </w:pPr>
      <w:r>
        <w:separator/>
      </w:r>
    </w:p>
  </w:endnote>
  <w:endnote w:type="continuationSeparator" w:id="0">
    <w:p w:rsidR="00F71A0F" w:rsidRDefault="00F71A0F" w:rsidP="00F7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52" w:rsidRDefault="00923D52" w:rsidP="00F71A0F">
    <w:pPr>
      <w:pStyle w:val="Fuzeile"/>
    </w:pPr>
  </w:p>
  <w:p w:rsidR="00F71A0F" w:rsidRPr="006B0B6D" w:rsidRDefault="007E0429" w:rsidP="00F71A0F">
    <w:pPr>
      <w:pStyle w:val="Fuzeile"/>
      <w:rPr>
        <w:rFonts w:ascii="Arial" w:hAnsi="Arial" w:cs="Arial"/>
        <w:color w:val="7F7F7F" w:themeColor="text1" w:themeTint="80"/>
        <w:sz w:val="20"/>
        <w:szCs w:val="20"/>
      </w:rPr>
    </w:pPr>
    <w:hyperlink r:id="rId1" w:history="1">
      <w:r w:rsidR="00F71A0F" w:rsidRPr="006B0B6D">
        <w:rPr>
          <w:rStyle w:val="Hyperlink"/>
          <w:rFonts w:ascii="Arial" w:hAnsi="Arial" w:cs="Arial"/>
          <w:color w:val="7F7F7F" w:themeColor="text1" w:themeTint="80"/>
          <w:sz w:val="20"/>
          <w:szCs w:val="20"/>
          <w:u w:val="none"/>
        </w:rPr>
        <w:t>www.regiodata.eu</w:t>
      </w:r>
    </w:hyperlink>
    <w:r w:rsidR="00F71A0F" w:rsidRPr="006B0B6D">
      <w:rPr>
        <w:rFonts w:ascii="Arial" w:hAnsi="Arial" w:cs="Arial"/>
        <w:color w:val="7F7F7F" w:themeColor="text1" w:themeTint="80"/>
        <w:sz w:val="20"/>
        <w:szCs w:val="20"/>
      </w:rPr>
      <w:tab/>
    </w:r>
    <w:r w:rsidR="00F71A0F" w:rsidRPr="006B0B6D">
      <w:rPr>
        <w:rFonts w:ascii="Arial" w:hAnsi="Arial" w:cs="Arial"/>
        <w:color w:val="7F7F7F" w:themeColor="text1" w:themeTint="80"/>
        <w:sz w:val="20"/>
        <w:szCs w:val="20"/>
      </w:rPr>
      <w:tab/>
      <w:t>2</w:t>
    </w:r>
  </w:p>
  <w:p w:rsidR="00F71A0F" w:rsidRDefault="00F71A0F" w:rsidP="006338A4">
    <w:pPr>
      <w:pStyle w:val="Fuzeile"/>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52" w:rsidRDefault="00923D52" w:rsidP="00F71A0F">
    <w:pPr>
      <w:pStyle w:val="Fuzeile"/>
    </w:pPr>
  </w:p>
  <w:p w:rsidR="00F71A0F" w:rsidRPr="006B0B6D" w:rsidRDefault="007E0429" w:rsidP="00F71A0F">
    <w:pPr>
      <w:pStyle w:val="Fuzeile"/>
      <w:rPr>
        <w:rFonts w:ascii="Arial" w:hAnsi="Arial" w:cs="Arial"/>
        <w:color w:val="7F7F7F" w:themeColor="text1" w:themeTint="80"/>
        <w:sz w:val="20"/>
        <w:szCs w:val="20"/>
      </w:rPr>
    </w:pPr>
    <w:hyperlink r:id="rId1" w:history="1">
      <w:r w:rsidR="00F71A0F" w:rsidRPr="006B0B6D">
        <w:rPr>
          <w:rStyle w:val="Hyperlink"/>
          <w:rFonts w:ascii="Arial" w:hAnsi="Arial" w:cs="Arial"/>
          <w:color w:val="7F7F7F" w:themeColor="text1" w:themeTint="80"/>
          <w:sz w:val="20"/>
          <w:szCs w:val="20"/>
          <w:u w:val="none"/>
        </w:rPr>
        <w:t>www.regiodata.eu</w:t>
      </w:r>
    </w:hyperlink>
    <w:r w:rsidR="00F71A0F" w:rsidRPr="006B0B6D">
      <w:rPr>
        <w:rFonts w:ascii="Arial" w:hAnsi="Arial" w:cs="Arial"/>
        <w:color w:val="7F7F7F" w:themeColor="text1" w:themeTint="80"/>
        <w:sz w:val="20"/>
        <w:szCs w:val="20"/>
      </w:rPr>
      <w:tab/>
    </w:r>
    <w:r w:rsidR="00F71A0F" w:rsidRPr="006B0B6D">
      <w:rPr>
        <w:rFonts w:ascii="Arial" w:hAnsi="Arial" w:cs="Arial"/>
        <w:color w:val="7F7F7F" w:themeColor="text1" w:themeTint="80"/>
        <w:sz w:val="20"/>
        <w:szCs w:val="20"/>
      </w:rPr>
      <w:tab/>
      <w:t>1</w:t>
    </w:r>
  </w:p>
  <w:p w:rsidR="00F71A0F" w:rsidRDefault="00F71A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0F" w:rsidRDefault="00F71A0F" w:rsidP="00F71A0F">
      <w:pPr>
        <w:spacing w:after="0" w:line="240" w:lineRule="auto"/>
      </w:pPr>
      <w:r>
        <w:separator/>
      </w:r>
    </w:p>
  </w:footnote>
  <w:footnote w:type="continuationSeparator" w:id="0">
    <w:p w:rsidR="00F71A0F" w:rsidRDefault="00F71A0F" w:rsidP="00F7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2E" w:rsidRDefault="00B9342E" w:rsidP="00B9342E">
    <w:pPr>
      <w:pStyle w:val="Kopfzeile"/>
    </w:pPr>
    <w:r w:rsidRPr="00492D78">
      <w:rPr>
        <w:noProof/>
        <w:color w:val="525556"/>
        <w:lang w:eastAsia="de-AT"/>
      </w:rPr>
      <mc:AlternateContent>
        <mc:Choice Requires="wps">
          <w:drawing>
            <wp:anchor distT="0" distB="0" distL="114300" distR="114300" simplePos="0" relativeHeight="251669504" behindDoc="0" locked="0" layoutInCell="1" allowOverlap="1" wp14:anchorId="6CC9C1BB" wp14:editId="131A168D">
              <wp:simplePos x="0" y="0"/>
              <wp:positionH relativeFrom="column">
                <wp:posOffset>-925033</wp:posOffset>
              </wp:positionH>
              <wp:positionV relativeFrom="paragraph">
                <wp:posOffset>550545</wp:posOffset>
              </wp:positionV>
              <wp:extent cx="7646035" cy="0"/>
              <wp:effectExtent l="0" t="0" r="12065" b="19050"/>
              <wp:wrapNone/>
              <wp:docPr id="7" name="Gerade Verbindung 7"/>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" strokecolor="#525556"/>
          </w:pict>
        </mc:Fallback>
      </mc:AlternateContent>
    </w:r>
    <w:r>
      <w:rPr>
        <w:noProof/>
        <w:lang w:eastAsia="de-AT"/>
      </w:rPr>
      <mc:AlternateContent>
        <mc:Choice Requires="wps">
          <w:drawing>
            <wp:anchor distT="0" distB="0" distL="114300" distR="114300" simplePos="0" relativeHeight="251668480" behindDoc="0" locked="0" layoutInCell="1" allowOverlap="1" wp14:anchorId="6ADFDD30" wp14:editId="29355C98">
              <wp:simplePos x="0" y="0"/>
              <wp:positionH relativeFrom="column">
                <wp:posOffset>-374015</wp:posOffset>
              </wp:positionH>
              <wp:positionV relativeFrom="paragraph">
                <wp:posOffset>41275</wp:posOffset>
              </wp:positionV>
              <wp:extent cx="914400" cy="914400"/>
              <wp:effectExtent l="0" t="0" r="0" b="0"/>
              <wp:wrapNone/>
              <wp:docPr id="8" name="Textfeld 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42E" w:rsidRPr="006B0B6D" w:rsidRDefault="00B9342E" w:rsidP="00B9342E">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29.45pt;margin-top:3.25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BVPqwYdAIAAF8FAAAOAAAA&#10;AAAAAAAAAAAAAC4CAABkcnMvZTJvRG9jLnhtbFBLAQItABQABgAIAAAAIQB8Tvjk4AAAAAgBAAAP&#10;AAAAAAAAAAAAAAAAAM4EAABkcnMvZG93bnJldi54bWxQSwUGAAAAAAQABADzAAAA2wUAAAAA&#10;" filled="f" stroked="f" strokeweight=".5pt">
              <v:textbox>
                <w:txbxContent>
                  <w:p w:rsidR="00B9342E" w:rsidRPr="006B0B6D" w:rsidRDefault="00B9342E" w:rsidP="00B9342E">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7456" behindDoc="1" locked="0" layoutInCell="1" allowOverlap="1" wp14:anchorId="7F2E0B42" wp14:editId="2472CD3A">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9" name="Grafik 9"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A0F" w:rsidRDefault="00F71A0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0F" w:rsidRDefault="006B0B6D">
    <w:pPr>
      <w:pStyle w:val="Kopfzeile"/>
    </w:pPr>
    <w:r w:rsidRPr="00492D78">
      <w:rPr>
        <w:noProof/>
        <w:color w:val="525556"/>
        <w:lang w:eastAsia="de-AT"/>
      </w:rPr>
      <mc:AlternateContent>
        <mc:Choice Requires="wps">
          <w:drawing>
            <wp:anchor distT="0" distB="0" distL="114300" distR="114300" simplePos="0" relativeHeight="251665408" behindDoc="0" locked="0" layoutInCell="1" allowOverlap="1" wp14:anchorId="6337F36C" wp14:editId="74826FC4">
              <wp:simplePos x="0" y="0"/>
              <wp:positionH relativeFrom="column">
                <wp:posOffset>-925033</wp:posOffset>
              </wp:positionH>
              <wp:positionV relativeFrom="paragraph">
                <wp:posOffset>550545</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Iaicrz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3360" behindDoc="0" locked="0" layoutInCell="1" allowOverlap="1" wp14:anchorId="4B06A3DE" wp14:editId="58C96A9E">
              <wp:simplePos x="0" y="0"/>
              <wp:positionH relativeFrom="column">
                <wp:posOffset>-374015</wp:posOffset>
              </wp:positionH>
              <wp:positionV relativeFrom="paragraph">
                <wp:posOffset>41275</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0B6D" w:rsidRPr="006B0B6D" w:rsidRDefault="006B0B6D" w:rsidP="006B0B6D">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7" type="#_x0000_t202" style="position:absolute;margin-left:-29.45pt;margin-top:3.25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GfEfVHgCAABmBQAA&#10;DgAAAAAAAAAAAAAAAAAuAgAAZHJzL2Uyb0RvYy54bWxQSwECLQAUAAYACAAAACEAfE745OAAAAAI&#10;AQAADwAAAAAAAAAAAAAAAADSBAAAZHJzL2Rvd25yZXYueG1sUEsFBgAAAAAEAAQA8wAAAN8FAAAA&#10;AA==&#10;" filled="f" stroked="f" strokeweight=".5pt">
              <v:textbox>
                <w:txbxContent>
                  <w:p w:rsidR="006B0B6D" w:rsidRPr="006B0B6D" w:rsidRDefault="006B0B6D" w:rsidP="006B0B6D">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1312" behindDoc="1" locked="0" layoutInCell="1" allowOverlap="1" wp14:anchorId="420C099D" wp14:editId="62D99A2F">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CE"/>
    <w:rsid w:val="00041A59"/>
    <w:rsid w:val="00067B8D"/>
    <w:rsid w:val="0008184A"/>
    <w:rsid w:val="000C7483"/>
    <w:rsid w:val="000E1420"/>
    <w:rsid w:val="000E16A2"/>
    <w:rsid w:val="000E5216"/>
    <w:rsid w:val="00131E77"/>
    <w:rsid w:val="00136785"/>
    <w:rsid w:val="00187632"/>
    <w:rsid w:val="001974AB"/>
    <w:rsid w:val="002036A2"/>
    <w:rsid w:val="00247400"/>
    <w:rsid w:val="00256180"/>
    <w:rsid w:val="00276FFE"/>
    <w:rsid w:val="00283EB7"/>
    <w:rsid w:val="002F746F"/>
    <w:rsid w:val="00322326"/>
    <w:rsid w:val="00333700"/>
    <w:rsid w:val="003400B4"/>
    <w:rsid w:val="003632A8"/>
    <w:rsid w:val="003B7ADC"/>
    <w:rsid w:val="003C7474"/>
    <w:rsid w:val="003D4E05"/>
    <w:rsid w:val="003F2642"/>
    <w:rsid w:val="004116AF"/>
    <w:rsid w:val="00422068"/>
    <w:rsid w:val="00425693"/>
    <w:rsid w:val="004333CB"/>
    <w:rsid w:val="00435333"/>
    <w:rsid w:val="00475C04"/>
    <w:rsid w:val="00481701"/>
    <w:rsid w:val="00487585"/>
    <w:rsid w:val="00491A16"/>
    <w:rsid w:val="00495C3F"/>
    <w:rsid w:val="00496817"/>
    <w:rsid w:val="004B38FC"/>
    <w:rsid w:val="004F6EF8"/>
    <w:rsid w:val="00501044"/>
    <w:rsid w:val="005177FD"/>
    <w:rsid w:val="005377D2"/>
    <w:rsid w:val="005559A6"/>
    <w:rsid w:val="00562C07"/>
    <w:rsid w:val="00590092"/>
    <w:rsid w:val="005F41CE"/>
    <w:rsid w:val="00622077"/>
    <w:rsid w:val="006338A4"/>
    <w:rsid w:val="006B0B6D"/>
    <w:rsid w:val="006B61A4"/>
    <w:rsid w:val="006D35D4"/>
    <w:rsid w:val="006E6F32"/>
    <w:rsid w:val="006F0659"/>
    <w:rsid w:val="0073403C"/>
    <w:rsid w:val="007B58B5"/>
    <w:rsid w:val="007C2F46"/>
    <w:rsid w:val="007E0429"/>
    <w:rsid w:val="00803D77"/>
    <w:rsid w:val="00816D26"/>
    <w:rsid w:val="00826541"/>
    <w:rsid w:val="008300A7"/>
    <w:rsid w:val="008315CC"/>
    <w:rsid w:val="00835C3A"/>
    <w:rsid w:val="008840D1"/>
    <w:rsid w:val="0089256F"/>
    <w:rsid w:val="00892BC8"/>
    <w:rsid w:val="00896F5A"/>
    <w:rsid w:val="00923D52"/>
    <w:rsid w:val="00932CD7"/>
    <w:rsid w:val="009606CB"/>
    <w:rsid w:val="00971385"/>
    <w:rsid w:val="0098102F"/>
    <w:rsid w:val="00981BFF"/>
    <w:rsid w:val="00985F7C"/>
    <w:rsid w:val="009D77DD"/>
    <w:rsid w:val="009E109C"/>
    <w:rsid w:val="00A47326"/>
    <w:rsid w:val="00A53500"/>
    <w:rsid w:val="00A6002B"/>
    <w:rsid w:val="00AA4348"/>
    <w:rsid w:val="00AB3FA9"/>
    <w:rsid w:val="00AC6D39"/>
    <w:rsid w:val="00AD7C80"/>
    <w:rsid w:val="00AE2FBA"/>
    <w:rsid w:val="00B55EB6"/>
    <w:rsid w:val="00B57062"/>
    <w:rsid w:val="00B9342E"/>
    <w:rsid w:val="00B9619A"/>
    <w:rsid w:val="00BD0733"/>
    <w:rsid w:val="00C12A3B"/>
    <w:rsid w:val="00C4248B"/>
    <w:rsid w:val="00C6665F"/>
    <w:rsid w:val="00C823BF"/>
    <w:rsid w:val="00C9426F"/>
    <w:rsid w:val="00CB1A68"/>
    <w:rsid w:val="00CB5FDE"/>
    <w:rsid w:val="00D32E51"/>
    <w:rsid w:val="00D43082"/>
    <w:rsid w:val="00D86B78"/>
    <w:rsid w:val="00DD0B3B"/>
    <w:rsid w:val="00DE0C47"/>
    <w:rsid w:val="00E076A0"/>
    <w:rsid w:val="00E43C18"/>
    <w:rsid w:val="00E465AB"/>
    <w:rsid w:val="00E54A34"/>
    <w:rsid w:val="00EB535F"/>
    <w:rsid w:val="00F02AD6"/>
    <w:rsid w:val="00F04F3F"/>
    <w:rsid w:val="00F16C06"/>
    <w:rsid w:val="00F56C73"/>
    <w:rsid w:val="00F57BCE"/>
    <w:rsid w:val="00F71A0F"/>
    <w:rsid w:val="00F86333"/>
    <w:rsid w:val="00F96AB0"/>
    <w:rsid w:val="00FD1C75"/>
    <w:rsid w:val="00FE00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23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23B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schriftung">
    <w:name w:val="caption"/>
    <w:basedOn w:val="Standard"/>
    <w:next w:val="Standard"/>
    <w:uiPriority w:val="35"/>
    <w:unhideWhenUsed/>
    <w:qFormat/>
    <w:rsid w:val="00C823BF"/>
    <w:pPr>
      <w:spacing w:line="240" w:lineRule="auto"/>
    </w:pPr>
    <w:rPr>
      <w:b/>
      <w:bCs/>
      <w:color w:val="4F81BD" w:themeColor="accent1"/>
      <w:sz w:val="18"/>
      <w:szCs w:val="18"/>
    </w:rPr>
  </w:style>
  <w:style w:type="paragraph" w:styleId="Sprechblasentext">
    <w:name w:val="Balloon Text"/>
    <w:basedOn w:val="Standard"/>
    <w:link w:val="SprechblasentextZchn"/>
    <w:uiPriority w:val="99"/>
    <w:semiHidden/>
    <w:unhideWhenUsed/>
    <w:rsid w:val="00896F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F5A"/>
    <w:rPr>
      <w:rFonts w:ascii="Tahoma" w:hAnsi="Tahoma" w:cs="Tahoma"/>
      <w:sz w:val="16"/>
      <w:szCs w:val="16"/>
    </w:rPr>
  </w:style>
  <w:style w:type="paragraph" w:styleId="Kopfzeile">
    <w:name w:val="header"/>
    <w:basedOn w:val="Standard"/>
    <w:link w:val="KopfzeileZchn"/>
    <w:uiPriority w:val="99"/>
    <w:unhideWhenUsed/>
    <w:rsid w:val="00F71A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0F"/>
  </w:style>
  <w:style w:type="paragraph" w:styleId="Fuzeile">
    <w:name w:val="footer"/>
    <w:basedOn w:val="Standard"/>
    <w:link w:val="FuzeileZchn"/>
    <w:uiPriority w:val="99"/>
    <w:unhideWhenUsed/>
    <w:rsid w:val="00F71A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0F"/>
  </w:style>
  <w:style w:type="character" w:styleId="Hyperlink">
    <w:name w:val="Hyperlink"/>
    <w:basedOn w:val="Absatz-Standardschriftart"/>
    <w:uiPriority w:val="99"/>
    <w:unhideWhenUsed/>
    <w:rsid w:val="00F71A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23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23B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schriftung">
    <w:name w:val="caption"/>
    <w:basedOn w:val="Standard"/>
    <w:next w:val="Standard"/>
    <w:uiPriority w:val="35"/>
    <w:unhideWhenUsed/>
    <w:qFormat/>
    <w:rsid w:val="00C823BF"/>
    <w:pPr>
      <w:spacing w:line="240" w:lineRule="auto"/>
    </w:pPr>
    <w:rPr>
      <w:b/>
      <w:bCs/>
      <w:color w:val="4F81BD" w:themeColor="accent1"/>
      <w:sz w:val="18"/>
      <w:szCs w:val="18"/>
    </w:rPr>
  </w:style>
  <w:style w:type="paragraph" w:styleId="Sprechblasentext">
    <w:name w:val="Balloon Text"/>
    <w:basedOn w:val="Standard"/>
    <w:link w:val="SprechblasentextZchn"/>
    <w:uiPriority w:val="99"/>
    <w:semiHidden/>
    <w:unhideWhenUsed/>
    <w:rsid w:val="00896F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F5A"/>
    <w:rPr>
      <w:rFonts w:ascii="Tahoma" w:hAnsi="Tahoma" w:cs="Tahoma"/>
      <w:sz w:val="16"/>
      <w:szCs w:val="16"/>
    </w:rPr>
  </w:style>
  <w:style w:type="paragraph" w:styleId="Kopfzeile">
    <w:name w:val="header"/>
    <w:basedOn w:val="Standard"/>
    <w:link w:val="KopfzeileZchn"/>
    <w:uiPriority w:val="99"/>
    <w:unhideWhenUsed/>
    <w:rsid w:val="00F71A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0F"/>
  </w:style>
  <w:style w:type="paragraph" w:styleId="Fuzeile">
    <w:name w:val="footer"/>
    <w:basedOn w:val="Standard"/>
    <w:link w:val="FuzeileZchn"/>
    <w:uiPriority w:val="99"/>
    <w:unhideWhenUsed/>
    <w:rsid w:val="00F71A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0F"/>
  </w:style>
  <w:style w:type="character" w:styleId="Hyperlink">
    <w:name w:val="Hyperlink"/>
    <w:basedOn w:val="Absatz-Standardschriftart"/>
    <w:uiPriority w:val="99"/>
    <w:unhideWhenUsed/>
    <w:rsid w:val="00F71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DAB0-9684-4425-A78C-CEE622EC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42</cp:revision>
  <dcterms:created xsi:type="dcterms:W3CDTF">2022-10-06T09:24:00Z</dcterms:created>
  <dcterms:modified xsi:type="dcterms:W3CDTF">2022-11-16T12:16:00Z</dcterms:modified>
</cp:coreProperties>
</file>