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E411" w14:textId="6B2385E9" w:rsidR="003B0D82" w:rsidRPr="003B0D82" w:rsidRDefault="00F16748" w:rsidP="003B0D82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PRESSEKONTAKT</w:t>
      </w:r>
      <w:r w:rsidR="006A56BD" w:rsidRPr="003B0D82">
        <w:rPr>
          <w:rFonts w:ascii="Arial" w:hAnsi="Arial" w:cs="Arial"/>
          <w:sz w:val="20"/>
          <w:szCs w:val="20"/>
          <w:lang w:val="de-DE"/>
        </w:rPr>
        <w:tab/>
      </w:r>
      <w:r w:rsidR="003B0D82">
        <w:rPr>
          <w:rFonts w:ascii="Arial" w:hAnsi="Arial" w:cs="Arial"/>
          <w:sz w:val="20"/>
          <w:szCs w:val="20"/>
          <w:lang w:val="de-DE"/>
        </w:rPr>
        <w:t xml:space="preserve">            </w:t>
      </w:r>
      <w:r w:rsidR="003B0D82">
        <w:rPr>
          <w:rFonts w:ascii="Arial" w:hAnsi="Arial" w:cs="Arial"/>
          <w:sz w:val="20"/>
          <w:szCs w:val="20"/>
          <w:lang w:val="de-DE"/>
        </w:rPr>
        <w:tab/>
      </w:r>
      <w:r w:rsidR="003B0D82">
        <w:rPr>
          <w:rFonts w:ascii="Arial" w:hAnsi="Arial" w:cs="Arial"/>
          <w:sz w:val="20"/>
          <w:szCs w:val="20"/>
          <w:lang w:val="de-DE"/>
        </w:rPr>
        <w:tab/>
      </w:r>
      <w:r w:rsidR="003B0D82">
        <w:rPr>
          <w:rFonts w:ascii="Arial" w:hAnsi="Arial" w:cs="Arial"/>
          <w:sz w:val="20"/>
          <w:szCs w:val="20"/>
          <w:lang w:val="de-DE"/>
        </w:rPr>
        <w:tab/>
      </w:r>
      <w:r w:rsidR="003B0D82">
        <w:rPr>
          <w:rFonts w:ascii="Arial" w:hAnsi="Arial" w:cs="Arial"/>
          <w:sz w:val="20"/>
          <w:szCs w:val="20"/>
          <w:lang w:val="de-DE"/>
        </w:rPr>
        <w:tab/>
      </w:r>
      <w:r w:rsidR="003B0D82">
        <w:rPr>
          <w:rFonts w:ascii="Arial" w:hAnsi="Arial" w:cs="Arial"/>
          <w:sz w:val="20"/>
          <w:szCs w:val="20"/>
          <w:lang w:val="de-DE"/>
        </w:rPr>
        <w:tab/>
        <w:t xml:space="preserve"> </w:t>
      </w:r>
      <w:r w:rsidR="003B0D82">
        <w:rPr>
          <w:rFonts w:ascii="Arial" w:hAnsi="Arial" w:cs="Arial"/>
          <w:sz w:val="20"/>
          <w:szCs w:val="20"/>
          <w:lang w:val="de-DE"/>
        </w:rPr>
        <w:tab/>
      </w: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DATUM</w:t>
      </w:r>
      <w:r w:rsidR="003B0D82" w:rsidRPr="003B0D82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="003B0D8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14:paraId="53B8E83E" w14:textId="0B3D6A02" w:rsidR="00542ACE" w:rsidRPr="00032A18" w:rsidRDefault="00C07602" w:rsidP="000C1CE1">
      <w:pPr>
        <w:spacing w:line="276" w:lineRule="auto"/>
        <w:rPr>
          <w:rFonts w:ascii="Arial" w:hAnsi="Arial" w:cs="Arial"/>
          <w:color w:val="525556"/>
          <w:sz w:val="20"/>
          <w:szCs w:val="20"/>
          <w:lang w:val="en-GB"/>
        </w:rPr>
      </w:pPr>
      <w:proofErr w:type="gramStart"/>
      <w:r w:rsidRPr="00812314">
        <w:rPr>
          <w:rFonts w:ascii="Arial" w:hAnsi="Arial" w:cs="Arial"/>
          <w:b/>
          <w:color w:val="525556"/>
          <w:sz w:val="20"/>
          <w:szCs w:val="20"/>
          <w:lang w:val="en-GB"/>
        </w:rPr>
        <w:t>RegioData Research GmbH</w:t>
      </w:r>
      <w:r w:rsidR="00513CD5" w:rsidRPr="00812314">
        <w:rPr>
          <w:rFonts w:ascii="Arial" w:hAnsi="Arial" w:cs="Arial"/>
          <w:b/>
          <w:color w:val="525556"/>
          <w:sz w:val="20"/>
          <w:szCs w:val="20"/>
          <w:lang w:val="en-GB"/>
        </w:rPr>
        <w:t xml:space="preserve"> </w:t>
      </w:r>
      <w:r w:rsidR="00513CD5" w:rsidRPr="00812314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="00513CD5" w:rsidRPr="00812314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="00513CD5" w:rsidRPr="00812314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="00513CD5" w:rsidRPr="00812314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="00513CD5" w:rsidRPr="00812314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="00513CD5" w:rsidRPr="00812314">
        <w:rPr>
          <w:rFonts w:ascii="Arial" w:hAnsi="Arial" w:cs="Arial"/>
          <w:b/>
          <w:color w:val="525556"/>
          <w:sz w:val="20"/>
          <w:szCs w:val="20"/>
          <w:lang w:val="en-GB"/>
        </w:rPr>
        <w:tab/>
      </w:r>
      <w:r w:rsidR="00812314" w:rsidRPr="00812314">
        <w:rPr>
          <w:rFonts w:ascii="Arial" w:hAnsi="Arial" w:cs="Arial"/>
          <w:b/>
          <w:color w:val="525556"/>
          <w:sz w:val="20"/>
          <w:szCs w:val="20"/>
          <w:lang w:val="en-GB"/>
        </w:rPr>
        <w:t>27.</w:t>
      </w:r>
      <w:proofErr w:type="gramEnd"/>
      <w:r w:rsidR="00812314" w:rsidRPr="00812314">
        <w:rPr>
          <w:rFonts w:ascii="Arial" w:hAnsi="Arial" w:cs="Arial"/>
          <w:b/>
          <w:color w:val="525556"/>
          <w:sz w:val="20"/>
          <w:szCs w:val="20"/>
          <w:lang w:val="en-GB"/>
        </w:rPr>
        <w:t xml:space="preserve"> </w:t>
      </w:r>
      <w:r w:rsidR="00812314" w:rsidRPr="00032A18">
        <w:rPr>
          <w:rFonts w:ascii="Arial" w:hAnsi="Arial" w:cs="Arial"/>
          <w:b/>
          <w:color w:val="525556"/>
          <w:sz w:val="20"/>
          <w:szCs w:val="20"/>
          <w:lang w:val="en-GB"/>
        </w:rPr>
        <w:t>April</w:t>
      </w:r>
      <w:r w:rsidR="00513CD5" w:rsidRPr="00032A18">
        <w:rPr>
          <w:rFonts w:ascii="Arial" w:hAnsi="Arial" w:cs="Arial"/>
          <w:b/>
          <w:color w:val="525556"/>
          <w:sz w:val="20"/>
          <w:szCs w:val="20"/>
          <w:lang w:val="en-GB"/>
        </w:rPr>
        <w:t xml:space="preserve"> 2022</w:t>
      </w:r>
      <w:r w:rsidR="003B0D82" w:rsidRPr="00032A18">
        <w:rPr>
          <w:rFonts w:ascii="Arial" w:hAnsi="Arial" w:cs="Arial"/>
          <w:color w:val="525556"/>
          <w:sz w:val="20"/>
          <w:szCs w:val="20"/>
          <w:lang w:val="en-GB"/>
        </w:rPr>
        <w:br/>
      </w:r>
      <w:proofErr w:type="spellStart"/>
      <w:r w:rsidR="00812314" w:rsidRPr="00032A18">
        <w:rPr>
          <w:rFonts w:ascii="Arial" w:hAnsi="Arial" w:cs="Arial"/>
          <w:color w:val="525556"/>
          <w:sz w:val="20"/>
          <w:szCs w:val="20"/>
          <w:lang w:val="en-GB"/>
        </w:rPr>
        <w:t>Amela</w:t>
      </w:r>
      <w:proofErr w:type="spellEnd"/>
      <w:r w:rsidR="00812314" w:rsidRPr="00032A18">
        <w:rPr>
          <w:rFonts w:ascii="Arial" w:hAnsi="Arial" w:cs="Arial"/>
          <w:color w:val="525556"/>
          <w:sz w:val="20"/>
          <w:szCs w:val="20"/>
          <w:lang w:val="en-GB"/>
        </w:rPr>
        <w:t xml:space="preserve"> </w:t>
      </w:r>
      <w:proofErr w:type="spellStart"/>
      <w:r w:rsidR="00812314" w:rsidRPr="00032A18">
        <w:rPr>
          <w:rFonts w:ascii="Arial" w:hAnsi="Arial" w:cs="Arial"/>
          <w:color w:val="525556"/>
          <w:sz w:val="20"/>
          <w:szCs w:val="20"/>
          <w:lang w:val="en-GB"/>
        </w:rPr>
        <w:t>Salihovic</w:t>
      </w:r>
      <w:proofErr w:type="spellEnd"/>
      <w:r w:rsidR="00812314" w:rsidRPr="00032A18">
        <w:rPr>
          <w:rFonts w:ascii="Arial" w:hAnsi="Arial" w:cs="Arial"/>
          <w:color w:val="525556"/>
          <w:sz w:val="20"/>
          <w:szCs w:val="20"/>
          <w:lang w:val="en-GB"/>
        </w:rPr>
        <w:t>, M.A</w:t>
      </w:r>
      <w:proofErr w:type="gramStart"/>
      <w:r w:rsidR="00812314" w:rsidRPr="00032A18">
        <w:rPr>
          <w:rFonts w:ascii="Arial" w:hAnsi="Arial" w:cs="Arial"/>
          <w:color w:val="525556"/>
          <w:sz w:val="20"/>
          <w:szCs w:val="20"/>
          <w:lang w:val="en-GB"/>
        </w:rPr>
        <w:t>.</w:t>
      </w:r>
      <w:proofErr w:type="gramEnd"/>
      <w:r w:rsidR="00812314" w:rsidRPr="00032A18">
        <w:rPr>
          <w:rFonts w:ascii="Arial" w:hAnsi="Arial" w:cs="Arial"/>
          <w:color w:val="525556"/>
          <w:sz w:val="20"/>
          <w:szCs w:val="20"/>
          <w:lang w:val="en-GB"/>
        </w:rPr>
        <w:br/>
      </w:r>
      <w:proofErr w:type="spellStart"/>
      <w:r w:rsidR="000C1CE1" w:rsidRPr="00032A18">
        <w:rPr>
          <w:rFonts w:ascii="Arial" w:hAnsi="Arial" w:cs="Arial"/>
          <w:color w:val="525556"/>
          <w:sz w:val="20"/>
          <w:szCs w:val="20"/>
          <w:lang w:val="en-GB"/>
        </w:rPr>
        <w:t>Theobaldgasse</w:t>
      </w:r>
      <w:proofErr w:type="spellEnd"/>
      <w:r w:rsidR="000C1CE1" w:rsidRPr="00032A18">
        <w:rPr>
          <w:rFonts w:ascii="Arial" w:hAnsi="Arial" w:cs="Arial"/>
          <w:color w:val="525556"/>
          <w:sz w:val="20"/>
          <w:szCs w:val="20"/>
          <w:lang w:val="en-GB"/>
        </w:rPr>
        <w:t xml:space="preserve"> 8 | </w:t>
      </w:r>
      <w:r w:rsidRPr="00032A18">
        <w:rPr>
          <w:rFonts w:ascii="Arial" w:hAnsi="Arial" w:cs="Arial"/>
          <w:color w:val="525556"/>
          <w:sz w:val="20"/>
          <w:szCs w:val="20"/>
          <w:lang w:val="en-GB"/>
        </w:rPr>
        <w:t>1060 Wien</w:t>
      </w:r>
      <w:r w:rsidRPr="00032A18">
        <w:rPr>
          <w:rFonts w:ascii="Arial" w:hAnsi="Arial" w:cs="Arial"/>
          <w:color w:val="525556"/>
          <w:sz w:val="20"/>
          <w:szCs w:val="20"/>
          <w:lang w:val="en-GB"/>
        </w:rPr>
        <w:br/>
        <w:t>+43 1 585 76 27</w:t>
      </w:r>
      <w:r w:rsidR="00A35CAA">
        <w:rPr>
          <w:rFonts w:ascii="Arial" w:hAnsi="Arial" w:cs="Arial"/>
          <w:color w:val="525556"/>
          <w:sz w:val="20"/>
          <w:szCs w:val="20"/>
          <w:lang w:val="en-GB"/>
        </w:rPr>
        <w:t>-50</w:t>
      </w:r>
      <w:bookmarkStart w:id="0" w:name="_GoBack"/>
      <w:bookmarkEnd w:id="0"/>
      <w:r w:rsidR="003B0D82" w:rsidRPr="00032A18">
        <w:rPr>
          <w:rFonts w:ascii="Arial" w:hAnsi="Arial" w:cs="Arial"/>
          <w:color w:val="525556"/>
          <w:sz w:val="20"/>
          <w:szCs w:val="20"/>
          <w:lang w:val="en-GB"/>
        </w:rPr>
        <w:br/>
      </w:r>
      <w:hyperlink r:id="rId9" w:history="1">
        <w:r w:rsidR="00812314" w:rsidRPr="00032A18">
          <w:rPr>
            <w:rFonts w:ascii="Arial" w:hAnsi="Arial" w:cs="Arial"/>
            <w:color w:val="525556"/>
            <w:sz w:val="20"/>
            <w:lang w:val="en-GB"/>
          </w:rPr>
          <w:t>a.salihovic@regiodata.eu</w:t>
        </w:r>
      </w:hyperlink>
      <w:r w:rsidR="003B0D82" w:rsidRPr="00032A18">
        <w:rPr>
          <w:rFonts w:ascii="Arial" w:hAnsi="Arial" w:cs="Arial"/>
          <w:color w:val="525556"/>
          <w:sz w:val="20"/>
          <w:szCs w:val="20"/>
          <w:lang w:val="en-GB"/>
        </w:rPr>
        <w:br/>
      </w:r>
      <w:r w:rsidR="00BC778D" w:rsidRPr="00032A18">
        <w:rPr>
          <w:rFonts w:ascii="Arial" w:hAnsi="Arial" w:cs="Arial"/>
          <w:color w:val="525556"/>
          <w:sz w:val="20"/>
          <w:szCs w:val="20"/>
          <w:lang w:val="en-GB"/>
        </w:rPr>
        <w:t>www.regiodata.eu</w:t>
      </w:r>
    </w:p>
    <w:p w14:paraId="1CBE0E32" w14:textId="77777777" w:rsidR="009D2B7C" w:rsidRPr="00032A18" w:rsidRDefault="009D2B7C">
      <w:pPr>
        <w:rPr>
          <w:rFonts w:ascii="Arial" w:hAnsi="Arial" w:cs="Arial"/>
          <w:sz w:val="20"/>
          <w:szCs w:val="20"/>
          <w:lang w:val="en-GB"/>
        </w:rPr>
      </w:pPr>
    </w:p>
    <w:p w14:paraId="79898555" w14:textId="77777777" w:rsidR="009D2B7C" w:rsidRPr="00032A18" w:rsidRDefault="009D2B7C" w:rsidP="0080724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3D56333" w14:textId="1CCB698D" w:rsidR="00812314" w:rsidRDefault="00812314" w:rsidP="000C1CE1">
      <w:pPr>
        <w:spacing w:line="360" w:lineRule="auto"/>
        <w:jc w:val="both"/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</w:pPr>
      <w:r w:rsidRPr="00812314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REGIODATA-ANA</w:t>
      </w:r>
      <w:r w:rsidR="00BE1385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LYSE: KONZENTRATION IM ÖSTERREI</w:t>
      </w:r>
      <w:r w:rsidRPr="00812314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CHISCHEN EI</w:t>
      </w:r>
      <w:r w:rsidRPr="00812314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N</w:t>
      </w:r>
      <w:r w:rsidRPr="00812314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 xml:space="preserve">ZELHANDEL SPITZT SICH WEITER ZU </w:t>
      </w:r>
    </w:p>
    <w:p w14:paraId="0663C76C" w14:textId="77777777" w:rsidR="00812314" w:rsidRDefault="00812314" w:rsidP="0080724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812314">
        <w:rPr>
          <w:rFonts w:ascii="Arial" w:hAnsi="Arial" w:cs="Arial"/>
          <w:b/>
          <w:bCs/>
          <w:sz w:val="20"/>
          <w:szCs w:val="20"/>
          <w:lang w:val="de-DE"/>
        </w:rPr>
        <w:t>Die in Österreich allseits bekannte hohe Marktkonzentration setzt sich auch während Corona fort: Die Big Player preschen weiter voran. Vor allem im Lebensmittelhandel, Sporthandel s</w:t>
      </w:r>
      <w:r w:rsidRPr="00812314">
        <w:rPr>
          <w:rFonts w:ascii="Arial" w:hAnsi="Arial" w:cs="Arial"/>
          <w:b/>
          <w:bCs/>
          <w:sz w:val="20"/>
          <w:szCs w:val="20"/>
          <w:lang w:val="de-DE"/>
        </w:rPr>
        <w:t>o</w:t>
      </w:r>
      <w:r w:rsidRPr="00812314">
        <w:rPr>
          <w:rFonts w:ascii="Arial" w:hAnsi="Arial" w:cs="Arial"/>
          <w:b/>
          <w:bCs/>
          <w:sz w:val="20"/>
          <w:szCs w:val="20"/>
          <w:lang w:val="de-DE"/>
        </w:rPr>
        <w:t>wie Drogerie- und Parfümeriehandel kontrollieren einige wenige Marktteilnehmer so gut wie die gesamte Branche.</w:t>
      </w:r>
    </w:p>
    <w:p w14:paraId="5CD98CDD" w14:textId="3CE62E4F" w:rsidR="00807249" w:rsidRDefault="00350034" w:rsidP="0080724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3B0D8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14:paraId="71AE2B72" w14:textId="77777777" w:rsidR="00812314" w:rsidRDefault="00812314" w:rsidP="00807249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812314">
        <w:rPr>
          <w:rFonts w:ascii="Arial" w:hAnsi="Arial" w:cs="Arial"/>
          <w:bCs/>
          <w:spacing w:val="10"/>
          <w:sz w:val="24"/>
          <w:szCs w:val="20"/>
          <w:lang w:val="de-DE"/>
        </w:rPr>
        <w:t>Die Top 5 des Lebensmittelhandels erreichen 95 %</w:t>
      </w:r>
      <w:proofErr w:type="spellStart"/>
      <w:r w:rsidRPr="00812314">
        <w:rPr>
          <w:rFonts w:ascii="Arial" w:hAnsi="Arial" w:cs="Arial"/>
          <w:bCs/>
          <w:spacing w:val="10"/>
          <w:sz w:val="24"/>
          <w:szCs w:val="20"/>
          <w:lang w:val="de-DE"/>
        </w:rPr>
        <w:t>igen</w:t>
      </w:r>
      <w:proofErr w:type="spellEnd"/>
      <w:r w:rsidRPr="00812314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Marktanteil</w:t>
      </w:r>
    </w:p>
    <w:p w14:paraId="6A612482" w14:textId="405A9E06" w:rsidR="00812314" w:rsidRPr="00812314" w:rsidRDefault="00812314" w:rsidP="0081231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12314">
        <w:rPr>
          <w:rFonts w:ascii="Arial" w:hAnsi="Arial" w:cs="Arial"/>
          <w:sz w:val="20"/>
          <w:szCs w:val="20"/>
          <w:lang w:val="de-DE"/>
        </w:rPr>
        <w:t>Im direkten Branchenvergleich verzeichnet der stationäre Lebensmittelhandel die höchste Markt-konzentration. Die fünf größten Unternehmen im Einzelhandel in Österreich bringen es bereits auf insgesamt 95 % des gesamten Marktvolumens. Derartige</w:t>
      </w:r>
      <w:r>
        <w:rPr>
          <w:rFonts w:ascii="Arial" w:hAnsi="Arial" w:cs="Arial"/>
          <w:sz w:val="20"/>
          <w:szCs w:val="20"/>
          <w:lang w:val="de-DE"/>
        </w:rPr>
        <w:t xml:space="preserve"> Konzentrationsgrade konnten in</w:t>
      </w:r>
      <w:r w:rsidRPr="00812314">
        <w:rPr>
          <w:rFonts w:ascii="Arial" w:hAnsi="Arial" w:cs="Arial"/>
          <w:sz w:val="20"/>
          <w:szCs w:val="20"/>
          <w:lang w:val="de-DE"/>
        </w:rPr>
        <w:t xml:space="preserve">ternational betrachtet bis dato nur in der Schweiz und Skandinavien gemessen werden. </w:t>
      </w:r>
    </w:p>
    <w:p w14:paraId="2BC26EB0" w14:textId="181C263C" w:rsidR="00812314" w:rsidRPr="00812314" w:rsidRDefault="00812314" w:rsidP="0081231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12314">
        <w:rPr>
          <w:rFonts w:ascii="Arial" w:hAnsi="Arial" w:cs="Arial"/>
          <w:sz w:val="20"/>
          <w:szCs w:val="20"/>
          <w:lang w:val="de-DE"/>
        </w:rPr>
        <w:t xml:space="preserve">Zusammen nehmen REWE, Spar und Hofer satte 84 % des Lebensmitteleinzelhandels ein. Dabei halten die „Big 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Three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 xml:space="preserve">“ ihre Vormachtstellung seit mittlerweile über einem Dezennium. Über die </w:t>
      </w:r>
      <w:proofErr w:type="gramStart"/>
      <w:r w:rsidRPr="00812314">
        <w:rPr>
          <w:rFonts w:ascii="Arial" w:hAnsi="Arial" w:cs="Arial"/>
          <w:sz w:val="20"/>
          <w:szCs w:val="20"/>
          <w:lang w:val="de-DE"/>
        </w:rPr>
        <w:t>öste</w:t>
      </w:r>
      <w:r w:rsidRPr="00812314">
        <w:rPr>
          <w:rFonts w:ascii="Arial" w:hAnsi="Arial" w:cs="Arial"/>
          <w:sz w:val="20"/>
          <w:szCs w:val="20"/>
          <w:lang w:val="de-DE"/>
        </w:rPr>
        <w:t>r</w:t>
      </w:r>
      <w:r w:rsidRPr="00812314">
        <w:rPr>
          <w:rFonts w:ascii="Arial" w:hAnsi="Arial" w:cs="Arial"/>
          <w:sz w:val="20"/>
          <w:szCs w:val="20"/>
          <w:lang w:val="de-DE"/>
        </w:rPr>
        <w:t>reichweit</w:t>
      </w:r>
      <w:proofErr w:type="gramEnd"/>
      <w:r w:rsidRPr="00812314">
        <w:rPr>
          <w:rFonts w:ascii="Arial" w:hAnsi="Arial" w:cs="Arial"/>
          <w:sz w:val="20"/>
          <w:szCs w:val="20"/>
          <w:lang w:val="de-DE"/>
        </w:rPr>
        <w:t xml:space="preserve"> meisten Standorte verfügt derzeit die REWE-Gruppe, dicht gefolgt von Spar. Auch Hofer konnte in den vergangenen Jahren deutlich aufstocken </w:t>
      </w:r>
      <w:r>
        <w:rPr>
          <w:rFonts w:ascii="Arial" w:hAnsi="Arial" w:cs="Arial"/>
          <w:sz w:val="20"/>
          <w:szCs w:val="20"/>
          <w:lang w:val="de-DE"/>
        </w:rPr>
        <w:t>und somit den Platz 3 am Lebens</w:t>
      </w:r>
      <w:r w:rsidRPr="00812314">
        <w:rPr>
          <w:rFonts w:ascii="Arial" w:hAnsi="Arial" w:cs="Arial"/>
          <w:sz w:val="20"/>
          <w:szCs w:val="20"/>
          <w:lang w:val="de-DE"/>
        </w:rPr>
        <w:t>mittelmarkt sichern. Mit über vier Fünftel Marktdominanz bed</w:t>
      </w:r>
      <w:r>
        <w:rPr>
          <w:rFonts w:ascii="Arial" w:hAnsi="Arial" w:cs="Arial"/>
          <w:sz w:val="20"/>
          <w:szCs w:val="20"/>
          <w:lang w:val="de-DE"/>
        </w:rPr>
        <w:t>ienen die Top 3 enorme Konsumen</w:t>
      </w:r>
      <w:r w:rsidRPr="00812314">
        <w:rPr>
          <w:rFonts w:ascii="Arial" w:hAnsi="Arial" w:cs="Arial"/>
          <w:sz w:val="20"/>
          <w:szCs w:val="20"/>
          <w:lang w:val="de-DE"/>
        </w:rPr>
        <w:t>tenmengen und sind aus dem heutigen stationären Markt mit Sicherheit nicht wegzudenken. Etwas mehr Spielraum hat dabei der E-Food-Markt. Zwar okkupieren Rewe und Spar auch hier bald 50 % des Onlinehandels, doch könnten sich auch andere Anbieter einen wichtigen Platz auf dem Nahversorgungsmarkt s</w:t>
      </w:r>
      <w:r w:rsidRPr="00812314">
        <w:rPr>
          <w:rFonts w:ascii="Arial" w:hAnsi="Arial" w:cs="Arial"/>
          <w:sz w:val="20"/>
          <w:szCs w:val="20"/>
          <w:lang w:val="de-DE"/>
        </w:rPr>
        <w:t>i</w:t>
      </w:r>
      <w:r w:rsidRPr="00812314">
        <w:rPr>
          <w:rFonts w:ascii="Arial" w:hAnsi="Arial" w:cs="Arial"/>
          <w:sz w:val="20"/>
          <w:szCs w:val="20"/>
          <w:lang w:val="de-DE"/>
        </w:rPr>
        <w:t>chern. So kämpfen reine Online-Supermärkte wie gurkerl.at, Alfies und Co. zunehmend um Markta</w:t>
      </w:r>
      <w:r w:rsidRPr="00812314">
        <w:rPr>
          <w:rFonts w:ascii="Arial" w:hAnsi="Arial" w:cs="Arial"/>
          <w:sz w:val="20"/>
          <w:szCs w:val="20"/>
          <w:lang w:val="de-DE"/>
        </w:rPr>
        <w:t>n</w:t>
      </w:r>
      <w:r w:rsidRPr="00812314">
        <w:rPr>
          <w:rFonts w:ascii="Arial" w:hAnsi="Arial" w:cs="Arial"/>
          <w:sz w:val="20"/>
          <w:szCs w:val="20"/>
          <w:lang w:val="de-DE"/>
        </w:rPr>
        <w:t>teile.</w:t>
      </w:r>
    </w:p>
    <w:p w14:paraId="04383D46" w14:textId="77777777" w:rsidR="00C84408" w:rsidRPr="00F16748" w:rsidRDefault="00C84408" w:rsidP="006265BE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0F6200FD" w14:textId="77777777" w:rsidR="00812314" w:rsidRDefault="00812314" w:rsidP="000C1CE1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812314">
        <w:rPr>
          <w:rFonts w:ascii="Arial" w:hAnsi="Arial" w:cs="Arial"/>
          <w:bCs/>
          <w:spacing w:val="10"/>
          <w:sz w:val="24"/>
          <w:szCs w:val="20"/>
          <w:lang w:val="de-DE"/>
        </w:rPr>
        <w:t>Nahezu alle Branchen weisen erhöhte Konzentrationstendenzen auf</w:t>
      </w:r>
    </w:p>
    <w:p w14:paraId="26976ED8" w14:textId="77777777" w:rsidR="00812314" w:rsidRPr="00812314" w:rsidRDefault="00812314" w:rsidP="0081231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12314">
        <w:rPr>
          <w:rFonts w:ascii="Arial" w:hAnsi="Arial" w:cs="Arial"/>
          <w:sz w:val="20"/>
          <w:szCs w:val="20"/>
          <w:lang w:val="de-DE"/>
        </w:rPr>
        <w:t>In sechs von acht untersuchten Branchen halten die jeweils fünf größten Händler über 80 % Markta</w:t>
      </w:r>
      <w:r w:rsidRPr="00812314">
        <w:rPr>
          <w:rFonts w:ascii="Arial" w:hAnsi="Arial" w:cs="Arial"/>
          <w:sz w:val="20"/>
          <w:szCs w:val="20"/>
          <w:lang w:val="de-DE"/>
        </w:rPr>
        <w:t>n</w:t>
      </w:r>
      <w:r w:rsidRPr="00812314">
        <w:rPr>
          <w:rFonts w:ascii="Arial" w:hAnsi="Arial" w:cs="Arial"/>
          <w:sz w:val="20"/>
          <w:szCs w:val="20"/>
          <w:lang w:val="de-DE"/>
        </w:rPr>
        <w:t xml:space="preserve">teil, während sich der Rest mit den bescheidenen Überbleibseln arrangieren muss. Und auch wenn </w:t>
      </w:r>
      <w:r w:rsidRPr="00812314">
        <w:rPr>
          <w:rFonts w:ascii="Arial" w:hAnsi="Arial" w:cs="Arial"/>
          <w:sz w:val="20"/>
          <w:szCs w:val="20"/>
          <w:lang w:val="de-DE"/>
        </w:rPr>
        <w:lastRenderedPageBreak/>
        <w:t xml:space="preserve">Wachstum in Form von Übernahmen oder Expansionen in dieser ausgeschöpften Marktposition kaum noch für möglich gehalten wird, wachsen einzelne Marktteilnehmer organisch weiter und gewinnen so noch mehr an Dominanz. </w:t>
      </w:r>
    </w:p>
    <w:p w14:paraId="246A89A4" w14:textId="1C210E52" w:rsidR="00EB5404" w:rsidRDefault="00812314" w:rsidP="0081231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12314">
        <w:rPr>
          <w:rFonts w:ascii="Arial" w:hAnsi="Arial" w:cs="Arial"/>
          <w:sz w:val="20"/>
          <w:szCs w:val="20"/>
          <w:lang w:val="de-DE"/>
        </w:rPr>
        <w:t xml:space="preserve">Laut jüngster RegioData Erhebung wurde ersichtlich, dass der Konzentrationsgrad 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branchenspezi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>-fisch unterschiedliche Entwicklungen hinlegt. Prinzipiell konnten so gut wie alle Big Player ihre dom</w:t>
      </w:r>
      <w:r w:rsidRPr="00812314">
        <w:rPr>
          <w:rFonts w:ascii="Arial" w:hAnsi="Arial" w:cs="Arial"/>
          <w:sz w:val="20"/>
          <w:szCs w:val="20"/>
          <w:lang w:val="de-DE"/>
        </w:rPr>
        <w:t>i</w:t>
      </w:r>
      <w:r w:rsidRPr="00812314">
        <w:rPr>
          <w:rFonts w:ascii="Arial" w:hAnsi="Arial" w:cs="Arial"/>
          <w:sz w:val="20"/>
          <w:szCs w:val="20"/>
          <w:lang w:val="de-DE"/>
        </w:rPr>
        <w:t>nierende Rolle um weitere 1 bis 3 %-Punkte untermauern. Demgegenüber stagnieren – auf sehr h</w:t>
      </w:r>
      <w:r w:rsidRPr="00812314">
        <w:rPr>
          <w:rFonts w:ascii="Arial" w:hAnsi="Arial" w:cs="Arial"/>
          <w:sz w:val="20"/>
          <w:szCs w:val="20"/>
          <w:lang w:val="de-DE"/>
        </w:rPr>
        <w:t>o</w:t>
      </w:r>
      <w:r w:rsidRPr="00812314">
        <w:rPr>
          <w:rFonts w:ascii="Arial" w:hAnsi="Arial" w:cs="Arial"/>
          <w:sz w:val="20"/>
          <w:szCs w:val="20"/>
          <w:lang w:val="de-DE"/>
        </w:rPr>
        <w:t xml:space="preserve">hem Niveau – sowohl der Lebensmittel- als auch der </w:t>
      </w:r>
      <w:r w:rsidR="00BE1385">
        <w:rPr>
          <w:rFonts w:ascii="Arial" w:hAnsi="Arial" w:cs="Arial"/>
          <w:sz w:val="20"/>
          <w:szCs w:val="20"/>
          <w:lang w:val="de-DE"/>
        </w:rPr>
        <w:t>Möbelhandel. Die Top 4 und 5 Un</w:t>
      </w:r>
      <w:r w:rsidRPr="00812314">
        <w:rPr>
          <w:rFonts w:ascii="Arial" w:hAnsi="Arial" w:cs="Arial"/>
          <w:sz w:val="20"/>
          <w:szCs w:val="20"/>
          <w:lang w:val="de-DE"/>
        </w:rPr>
        <w:t>ternehmen am Möbelmarkt konnten sogar um 7 % zulegen und damit Marktanteile gewinnen. Hingegen leiden klein</w:t>
      </w:r>
      <w:r w:rsidRPr="00812314">
        <w:rPr>
          <w:rFonts w:ascii="Arial" w:hAnsi="Arial" w:cs="Arial"/>
          <w:sz w:val="20"/>
          <w:szCs w:val="20"/>
          <w:lang w:val="de-DE"/>
        </w:rPr>
        <w:t>e</w:t>
      </w:r>
      <w:r w:rsidRPr="00812314">
        <w:rPr>
          <w:rFonts w:ascii="Arial" w:hAnsi="Arial" w:cs="Arial"/>
          <w:sz w:val="20"/>
          <w:szCs w:val="20"/>
          <w:lang w:val="de-DE"/>
        </w:rPr>
        <w:t xml:space="preserve">re Anbieter allesamt an konstanten Marktanteilsverlusten. </w:t>
      </w:r>
    </w:p>
    <w:p w14:paraId="6D6AB86A" w14:textId="77777777" w:rsidR="00812314" w:rsidRPr="00F16748" w:rsidRDefault="00812314" w:rsidP="00812314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45D97983" w14:textId="5D6305E9" w:rsidR="00513CD5" w:rsidRPr="00F16748" w:rsidRDefault="00EA0617" w:rsidP="006265BE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EA0617">
        <w:rPr>
          <w:rFonts w:ascii="Arial" w:hAnsi="Arial" w:cs="Arial"/>
          <w:noProof/>
          <w:sz w:val="20"/>
          <w:szCs w:val="20"/>
          <w:lang w:eastAsia="de-AT"/>
        </w:rPr>
        <w:drawing>
          <wp:inline distT="0" distB="0" distL="0" distR="0" wp14:anchorId="3AE6A0B9" wp14:editId="10F33A16">
            <wp:extent cx="5759450" cy="3162615"/>
            <wp:effectExtent l="19050" t="19050" r="12700" b="190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62615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D24208E" w14:textId="77777777" w:rsidR="00C448DD" w:rsidRPr="00F16748" w:rsidRDefault="00C448DD" w:rsidP="006265BE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248969A9" w14:textId="77777777" w:rsidR="00812314" w:rsidRDefault="00812314" w:rsidP="000C1CE1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812314">
        <w:rPr>
          <w:rFonts w:ascii="Arial" w:hAnsi="Arial" w:cs="Arial"/>
          <w:bCs/>
          <w:spacing w:val="10"/>
          <w:sz w:val="24"/>
          <w:szCs w:val="20"/>
          <w:lang w:val="de-DE"/>
        </w:rPr>
        <w:t>Konkurrenzkampf im unkonzentrierten Bekleidungshandel</w:t>
      </w:r>
    </w:p>
    <w:p w14:paraId="78563066" w14:textId="77777777" w:rsidR="00812314" w:rsidRPr="00812314" w:rsidRDefault="00812314" w:rsidP="0081231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12314">
        <w:rPr>
          <w:rFonts w:ascii="Arial" w:hAnsi="Arial" w:cs="Arial"/>
          <w:sz w:val="20"/>
          <w:szCs w:val="20"/>
          <w:lang w:val="de-DE"/>
        </w:rPr>
        <w:t>Der österreichische Bekleidungsmarkt weist gleich zwei Besonderheiten auf. Einerseits herrscht – trotz vieler Filialschließungen – eine im Europavergleich nach wie vor sehr hohe Verkaufsflächen-dichte, andererseits weisen die Marktführer im Vergleich zu den anderen Branchen die mit Abstand geringste Konzentration auf. Unternehmen mit mehreren Vertriebslinien, wie man sie etwa im L</w:t>
      </w:r>
      <w:r w:rsidRPr="00812314">
        <w:rPr>
          <w:rFonts w:ascii="Arial" w:hAnsi="Arial" w:cs="Arial"/>
          <w:sz w:val="20"/>
          <w:szCs w:val="20"/>
          <w:lang w:val="de-DE"/>
        </w:rPr>
        <w:t>e</w:t>
      </w:r>
      <w:r w:rsidRPr="00812314">
        <w:rPr>
          <w:rFonts w:ascii="Arial" w:hAnsi="Arial" w:cs="Arial"/>
          <w:sz w:val="20"/>
          <w:szCs w:val="20"/>
          <w:lang w:val="de-DE"/>
        </w:rPr>
        <w:t>bensmittel- und Sportartikelhandel kennt, sind hier kaum vertreten. Zudem ist natürlich der Bekle</w:t>
      </w:r>
      <w:r w:rsidRPr="00812314">
        <w:rPr>
          <w:rFonts w:ascii="Arial" w:hAnsi="Arial" w:cs="Arial"/>
          <w:sz w:val="20"/>
          <w:szCs w:val="20"/>
          <w:lang w:val="de-DE"/>
        </w:rPr>
        <w:t>i</w:t>
      </w:r>
      <w:r w:rsidRPr="00812314">
        <w:rPr>
          <w:rFonts w:ascii="Arial" w:hAnsi="Arial" w:cs="Arial"/>
          <w:sz w:val="20"/>
          <w:szCs w:val="20"/>
          <w:lang w:val="de-DE"/>
        </w:rPr>
        <w:t>dungshandel hinsichtlich des Warenangebotes sehr breit gefächert und damit zersplittert. Domini</w:t>
      </w:r>
      <w:r w:rsidRPr="00812314">
        <w:rPr>
          <w:rFonts w:ascii="Arial" w:hAnsi="Arial" w:cs="Arial"/>
          <w:sz w:val="20"/>
          <w:szCs w:val="20"/>
          <w:lang w:val="de-DE"/>
        </w:rPr>
        <w:t>e</w:t>
      </w:r>
      <w:r w:rsidRPr="00812314">
        <w:rPr>
          <w:rFonts w:ascii="Arial" w:hAnsi="Arial" w:cs="Arial"/>
          <w:sz w:val="20"/>
          <w:szCs w:val="20"/>
          <w:lang w:val="de-DE"/>
        </w:rPr>
        <w:t xml:space="preserve">rende große Textilkaufhäuser wie etwa in Deutschland oder den skandinavischen Ländern fehlen in Österreich weitgehend. Der bereits sehr gut etablierte Online-Handel erschwert die Lage zusätzlich, da kaum Wachstum zugelassen wird und der stationäre Handel in weiterer Folge Umsatzrückgänge verzeichnen muss. </w:t>
      </w:r>
    </w:p>
    <w:p w14:paraId="1D8BC0C1" w14:textId="77777777" w:rsidR="00812314" w:rsidRPr="00812314" w:rsidRDefault="00812314" w:rsidP="0081231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12314">
        <w:rPr>
          <w:rFonts w:ascii="Arial" w:hAnsi="Arial" w:cs="Arial"/>
          <w:sz w:val="20"/>
          <w:szCs w:val="20"/>
          <w:lang w:val="de-DE"/>
        </w:rPr>
        <w:lastRenderedPageBreak/>
        <w:t>Während die Konsumausgaben im Lebensmittelhandel mit 84 %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iger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 xml:space="preserve"> Sicherheit in einen der „Big 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Three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 xml:space="preserve">“ fließen, kann das Pendant des Textilhandels - H&amp;M (inkl. COS), C&amp;A und 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Peek&amp;Cloppenburg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 xml:space="preserve"> - nicht einmal 1/3 des Umsatzes auf sich vereinen. Selbst wenn man die viert- und fünftplatzierten 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KiK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 xml:space="preserve"> und 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Zara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 xml:space="preserve"> hinzuzählt, sind es lediglich 36 % Marktanteil, welche diese fünf stärksten Marktteilnehmer für sich verbuchen können.</w:t>
      </w:r>
    </w:p>
    <w:p w14:paraId="56A80124" w14:textId="0D693B5B" w:rsidR="000C1CE1" w:rsidRDefault="00812314" w:rsidP="0081231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12314">
        <w:rPr>
          <w:rFonts w:ascii="Arial" w:hAnsi="Arial" w:cs="Arial"/>
          <w:sz w:val="20"/>
          <w:szCs w:val="20"/>
          <w:lang w:val="de-DE"/>
        </w:rPr>
        <w:t>Die Triebkraft hinter der Verringerung des Konzentrationsgrades ist die zunehmende Anzahl an reinen Internetunternehmen und virtuellen Marktplätzen wie Amazon und Zalando. Waren es vor fünf Jahren noch etwa 20 % Onlineanteil an den Bekleidungsausgaben, sind es – befeuert durch Corona - derzeit nahezu 40 %. Während sich der Handel via Internet gut entwickelt, befinden sich die Verkaufsflächen im stationären Bekleidungseinzelhandel</w:t>
      </w:r>
      <w:r>
        <w:rPr>
          <w:rFonts w:ascii="Arial" w:hAnsi="Arial" w:cs="Arial"/>
          <w:sz w:val="20"/>
          <w:szCs w:val="20"/>
          <w:lang w:val="de-DE"/>
        </w:rPr>
        <w:t xml:space="preserve"> auf einem deutlichen und konti</w:t>
      </w:r>
      <w:r w:rsidRPr="00812314">
        <w:rPr>
          <w:rFonts w:ascii="Arial" w:hAnsi="Arial" w:cs="Arial"/>
          <w:sz w:val="20"/>
          <w:szCs w:val="20"/>
          <w:lang w:val="de-DE"/>
        </w:rPr>
        <w:t>nuierlichen Sinkflug. In den letzten Jahren haben sich Bekleidungsfilialisten immer wieder aus großflächigen Toplagen zurückg</w:t>
      </w:r>
      <w:r w:rsidRPr="00812314">
        <w:rPr>
          <w:rFonts w:ascii="Arial" w:hAnsi="Arial" w:cs="Arial"/>
          <w:sz w:val="20"/>
          <w:szCs w:val="20"/>
          <w:lang w:val="de-DE"/>
        </w:rPr>
        <w:t>e</w:t>
      </w:r>
      <w:r w:rsidRPr="00812314">
        <w:rPr>
          <w:rFonts w:ascii="Arial" w:hAnsi="Arial" w:cs="Arial"/>
          <w:sz w:val="20"/>
          <w:szCs w:val="20"/>
          <w:lang w:val="de-DE"/>
        </w:rPr>
        <w:t>zogen und so den Markt bereinigt.</w:t>
      </w:r>
    </w:p>
    <w:p w14:paraId="4610F8A2" w14:textId="77777777" w:rsidR="00812314" w:rsidRPr="00F16748" w:rsidRDefault="00812314" w:rsidP="00812314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71BEA7F1" w14:textId="4E76E6F2" w:rsidR="004928FB" w:rsidRPr="00F16748" w:rsidRDefault="00812314" w:rsidP="00807249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Billiger Jakob: zwischen zwei Fronten</w:t>
      </w:r>
    </w:p>
    <w:p w14:paraId="6FF0F9D3" w14:textId="77777777" w:rsidR="00812314" w:rsidRPr="00812314" w:rsidRDefault="00812314" w:rsidP="0081231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12314">
        <w:rPr>
          <w:rFonts w:ascii="Arial" w:hAnsi="Arial" w:cs="Arial"/>
          <w:sz w:val="20"/>
          <w:szCs w:val="20"/>
          <w:lang w:val="de-DE"/>
        </w:rPr>
        <w:t xml:space="preserve">Diskonter gewinnen in vielen Branchen immer mehr an Bedeutung. Besonders im Bekleidungs-handel haben Textildiskonter ihre Standorte kräftig ausgebaut. So verzeichnen etwa NKD und 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Kik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 xml:space="preserve"> die öste</w:t>
      </w:r>
      <w:r w:rsidRPr="00812314">
        <w:rPr>
          <w:rFonts w:ascii="Arial" w:hAnsi="Arial" w:cs="Arial"/>
          <w:sz w:val="20"/>
          <w:szCs w:val="20"/>
          <w:lang w:val="de-DE"/>
        </w:rPr>
        <w:t>r</w:t>
      </w:r>
      <w:r w:rsidRPr="00812314">
        <w:rPr>
          <w:rFonts w:ascii="Arial" w:hAnsi="Arial" w:cs="Arial"/>
          <w:sz w:val="20"/>
          <w:szCs w:val="20"/>
          <w:lang w:val="de-DE"/>
        </w:rPr>
        <w:t xml:space="preserve">reichweit meisten Filialen. Auch zu Pandemiebeginn konnten die Standortgiganten ihre Position nicht nur gut halten, sondern zudem ordentlich 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akzelerieren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>. In puncto Umsatz reicht es bei den Niedri</w:t>
      </w:r>
      <w:r w:rsidRPr="00812314">
        <w:rPr>
          <w:rFonts w:ascii="Arial" w:hAnsi="Arial" w:cs="Arial"/>
          <w:sz w:val="20"/>
          <w:szCs w:val="20"/>
          <w:lang w:val="de-DE"/>
        </w:rPr>
        <w:t>g</w:t>
      </w:r>
      <w:r w:rsidRPr="00812314">
        <w:rPr>
          <w:rFonts w:ascii="Arial" w:hAnsi="Arial" w:cs="Arial"/>
          <w:sz w:val="20"/>
          <w:szCs w:val="20"/>
          <w:lang w:val="de-DE"/>
        </w:rPr>
        <w:t xml:space="preserve">preis-Anbietern allerdings nur für die Top 10. </w:t>
      </w:r>
    </w:p>
    <w:p w14:paraId="650CB8D6" w14:textId="0AAD0180" w:rsidR="00BF3551" w:rsidRDefault="00812314" w:rsidP="00812314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12314">
        <w:rPr>
          <w:rFonts w:ascii="Arial" w:hAnsi="Arial" w:cs="Arial"/>
          <w:sz w:val="20"/>
          <w:szCs w:val="20"/>
          <w:lang w:val="de-DE"/>
        </w:rPr>
        <w:t xml:space="preserve">Zudem profitieren die Non-Food-Diskontriesen Action, 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Pepco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 xml:space="preserve"> und </w:t>
      </w:r>
      <w:proofErr w:type="spellStart"/>
      <w:r w:rsidRPr="00812314">
        <w:rPr>
          <w:rFonts w:ascii="Arial" w:hAnsi="Arial" w:cs="Arial"/>
          <w:sz w:val="20"/>
          <w:szCs w:val="20"/>
          <w:lang w:val="de-DE"/>
        </w:rPr>
        <w:t>Tedi</w:t>
      </w:r>
      <w:proofErr w:type="spellEnd"/>
      <w:r w:rsidRPr="00812314">
        <w:rPr>
          <w:rFonts w:ascii="Arial" w:hAnsi="Arial" w:cs="Arial"/>
          <w:sz w:val="20"/>
          <w:szCs w:val="20"/>
          <w:lang w:val="de-DE"/>
        </w:rPr>
        <w:t xml:space="preserve"> stark von der für einzelne B</w:t>
      </w:r>
      <w:r w:rsidRPr="00812314">
        <w:rPr>
          <w:rFonts w:ascii="Arial" w:hAnsi="Arial" w:cs="Arial"/>
          <w:sz w:val="20"/>
          <w:szCs w:val="20"/>
          <w:lang w:val="de-DE"/>
        </w:rPr>
        <w:t>e</w:t>
      </w:r>
      <w:r w:rsidRPr="00812314">
        <w:rPr>
          <w:rFonts w:ascii="Arial" w:hAnsi="Arial" w:cs="Arial"/>
          <w:sz w:val="20"/>
          <w:szCs w:val="20"/>
          <w:lang w:val="de-DE"/>
        </w:rPr>
        <w:t>völkerungsgruppen sinkenden Kaufkraft in Österreich und attackieren dabei auch die etablierten L</w:t>
      </w:r>
      <w:r w:rsidRPr="00812314">
        <w:rPr>
          <w:rFonts w:ascii="Arial" w:hAnsi="Arial" w:cs="Arial"/>
          <w:sz w:val="20"/>
          <w:szCs w:val="20"/>
          <w:lang w:val="de-DE"/>
        </w:rPr>
        <w:t>e</w:t>
      </w:r>
      <w:r w:rsidRPr="00812314">
        <w:rPr>
          <w:rFonts w:ascii="Arial" w:hAnsi="Arial" w:cs="Arial"/>
          <w:sz w:val="20"/>
          <w:szCs w:val="20"/>
          <w:lang w:val="de-DE"/>
        </w:rPr>
        <w:t>bensmitteldiskonter.</w:t>
      </w:r>
      <w:r w:rsidR="00A24011" w:rsidRPr="00F16748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2780B23D" w14:textId="77777777" w:rsidR="00807249" w:rsidRDefault="00807249" w:rsidP="00812314">
      <w:pPr>
        <w:rPr>
          <w:rFonts w:ascii="Arial" w:hAnsi="Arial" w:cs="Arial"/>
          <w:sz w:val="20"/>
          <w:szCs w:val="20"/>
          <w:lang w:val="de-DE"/>
        </w:rPr>
      </w:pPr>
    </w:p>
    <w:p w14:paraId="1A29247F" w14:textId="77777777" w:rsidR="00812314" w:rsidRPr="00F16748" w:rsidRDefault="00812314" w:rsidP="00812314">
      <w:pPr>
        <w:rPr>
          <w:rFonts w:ascii="Arial" w:hAnsi="Arial" w:cs="Arial"/>
          <w:i/>
          <w:sz w:val="20"/>
          <w:szCs w:val="20"/>
          <w:lang w:val="de-DE"/>
        </w:rPr>
      </w:pPr>
    </w:p>
    <w:p w14:paraId="0F4291F9" w14:textId="77777777" w:rsidR="00807249" w:rsidRPr="00F16748" w:rsidRDefault="00807249" w:rsidP="000C1CE1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14:paraId="07E6BFB3" w14:textId="77777777" w:rsidR="00807249" w:rsidRPr="00F16748" w:rsidRDefault="00807249" w:rsidP="000C1CE1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14:paraId="1FC85B75" w14:textId="13A7327E" w:rsidR="005B4452" w:rsidRPr="00F16748" w:rsidRDefault="00E60128" w:rsidP="000C1CE1">
      <w:pPr>
        <w:jc w:val="center"/>
        <w:rPr>
          <w:rFonts w:ascii="Arial" w:hAnsi="Arial" w:cs="Arial"/>
          <w:i/>
          <w:sz w:val="20"/>
          <w:szCs w:val="20"/>
        </w:rPr>
      </w:pPr>
      <w:r w:rsidRPr="00F16748">
        <w:rPr>
          <w:rFonts w:ascii="Arial" w:hAnsi="Arial" w:cs="Arial"/>
          <w:i/>
          <w:sz w:val="20"/>
          <w:szCs w:val="20"/>
          <w:lang w:val="de-DE"/>
        </w:rPr>
        <w:t xml:space="preserve">Aktuelle </w:t>
      </w:r>
      <w:r w:rsidR="00F43546" w:rsidRPr="00F16748">
        <w:rPr>
          <w:rFonts w:ascii="Arial" w:hAnsi="Arial" w:cs="Arial"/>
          <w:i/>
          <w:sz w:val="20"/>
          <w:szCs w:val="20"/>
          <w:lang w:val="de-DE"/>
        </w:rPr>
        <w:t>Analyse</w:t>
      </w:r>
      <w:r w:rsidR="00D60A03" w:rsidRPr="00F16748">
        <w:rPr>
          <w:rFonts w:ascii="Arial" w:hAnsi="Arial" w:cs="Arial"/>
          <w:i/>
          <w:sz w:val="20"/>
          <w:szCs w:val="20"/>
          <w:lang w:val="de-DE"/>
        </w:rPr>
        <w:t xml:space="preserve">: </w:t>
      </w:r>
      <w:r w:rsidR="00D60A03" w:rsidRPr="00F16748">
        <w:rPr>
          <w:rFonts w:ascii="Arial" w:hAnsi="Arial" w:cs="Arial"/>
          <w:b/>
          <w:i/>
          <w:sz w:val="20"/>
          <w:szCs w:val="20"/>
          <w:lang w:val="de-DE"/>
        </w:rPr>
        <w:t>„</w:t>
      </w:r>
      <w:proofErr w:type="spellStart"/>
      <w:r w:rsidR="00D60A03" w:rsidRPr="00F16748">
        <w:rPr>
          <w:rFonts w:ascii="Arial" w:hAnsi="Arial" w:cs="Arial"/>
          <w:b/>
          <w:i/>
          <w:sz w:val="20"/>
          <w:szCs w:val="20"/>
          <w:lang w:val="de-DE"/>
        </w:rPr>
        <w:t>RegioData</w:t>
      </w:r>
      <w:proofErr w:type="spellEnd"/>
      <w:r w:rsidR="00D60A03" w:rsidRPr="00F16748">
        <w:rPr>
          <w:rFonts w:ascii="Arial" w:hAnsi="Arial" w:cs="Arial"/>
          <w:b/>
          <w:i/>
          <w:sz w:val="20"/>
          <w:szCs w:val="20"/>
          <w:lang w:val="de-DE"/>
        </w:rPr>
        <w:t xml:space="preserve"> </w:t>
      </w:r>
      <w:proofErr w:type="spellStart"/>
      <w:r w:rsidR="00812314">
        <w:rPr>
          <w:rFonts w:ascii="Arial" w:hAnsi="Arial" w:cs="Arial"/>
          <w:b/>
          <w:i/>
          <w:sz w:val="20"/>
          <w:szCs w:val="20"/>
          <w:lang w:val="de-DE"/>
        </w:rPr>
        <w:t>BranchenKennzahlen</w:t>
      </w:r>
      <w:proofErr w:type="spellEnd"/>
      <w:r w:rsidR="00812314">
        <w:rPr>
          <w:rFonts w:ascii="Arial" w:hAnsi="Arial" w:cs="Arial"/>
          <w:b/>
          <w:i/>
          <w:sz w:val="20"/>
          <w:szCs w:val="20"/>
          <w:lang w:val="de-DE"/>
        </w:rPr>
        <w:t xml:space="preserve"> </w:t>
      </w:r>
      <w:r w:rsidR="00D60A03" w:rsidRPr="00F16748">
        <w:rPr>
          <w:rFonts w:ascii="Arial" w:hAnsi="Arial" w:cs="Arial"/>
          <w:b/>
          <w:i/>
          <w:sz w:val="20"/>
          <w:szCs w:val="20"/>
          <w:lang w:val="de-DE"/>
        </w:rPr>
        <w:t>Österreich – Ausgabe 202</w:t>
      </w:r>
      <w:r w:rsidR="00812314">
        <w:rPr>
          <w:rFonts w:ascii="Arial" w:hAnsi="Arial" w:cs="Arial"/>
          <w:b/>
          <w:i/>
          <w:sz w:val="20"/>
          <w:szCs w:val="20"/>
          <w:lang w:val="de-DE"/>
        </w:rPr>
        <w:t>2</w:t>
      </w:r>
      <w:r w:rsidR="00D60A03" w:rsidRPr="00F16748">
        <w:rPr>
          <w:rFonts w:ascii="Arial" w:hAnsi="Arial" w:cs="Arial"/>
          <w:b/>
          <w:i/>
          <w:sz w:val="20"/>
          <w:szCs w:val="20"/>
          <w:lang w:val="de-DE"/>
        </w:rPr>
        <w:t>“.</w:t>
      </w:r>
    </w:p>
    <w:p w14:paraId="210FEA07" w14:textId="5160A2AE" w:rsidR="00D60A03" w:rsidRPr="00F16748" w:rsidRDefault="00F71DFE" w:rsidP="000C1CE1">
      <w:pPr>
        <w:jc w:val="center"/>
        <w:rPr>
          <w:rFonts w:ascii="Arial" w:hAnsi="Arial" w:cs="Arial"/>
          <w:i/>
          <w:sz w:val="20"/>
          <w:szCs w:val="20"/>
        </w:rPr>
      </w:pPr>
      <w:r w:rsidRPr="00F16748">
        <w:rPr>
          <w:rFonts w:ascii="Arial" w:hAnsi="Arial" w:cs="Arial"/>
          <w:i/>
          <w:sz w:val="20"/>
          <w:szCs w:val="20"/>
        </w:rPr>
        <w:t xml:space="preserve">Die </w:t>
      </w:r>
      <w:r w:rsidR="00807249" w:rsidRPr="00F16748">
        <w:rPr>
          <w:rFonts w:ascii="Arial" w:hAnsi="Arial" w:cs="Arial"/>
          <w:b/>
          <w:bCs/>
          <w:i/>
          <w:sz w:val="20"/>
          <w:szCs w:val="20"/>
        </w:rPr>
        <w:t xml:space="preserve">RegioData Research </w:t>
      </w:r>
      <w:r w:rsidRPr="00F16748">
        <w:rPr>
          <w:rFonts w:ascii="Arial" w:hAnsi="Arial" w:cs="Arial"/>
          <w:b/>
          <w:bCs/>
          <w:i/>
          <w:sz w:val="20"/>
          <w:szCs w:val="20"/>
        </w:rPr>
        <w:t>GmbH</w:t>
      </w:r>
      <w:r w:rsidRPr="00F16748">
        <w:rPr>
          <w:rFonts w:ascii="Arial" w:hAnsi="Arial" w:cs="Arial"/>
          <w:i/>
          <w:sz w:val="20"/>
          <w:szCs w:val="20"/>
        </w:rPr>
        <w:t xml:space="preserve"> mit Sitz in Wien und München ist Spezialist bei regionalen Wir</w:t>
      </w:r>
      <w:r w:rsidRPr="00F16748">
        <w:rPr>
          <w:rFonts w:ascii="Arial" w:hAnsi="Arial" w:cs="Arial"/>
          <w:i/>
          <w:sz w:val="20"/>
          <w:szCs w:val="20"/>
        </w:rPr>
        <w:t>t</w:t>
      </w:r>
      <w:r w:rsidRPr="00F16748">
        <w:rPr>
          <w:rFonts w:ascii="Arial" w:hAnsi="Arial" w:cs="Arial"/>
          <w:i/>
          <w:sz w:val="20"/>
          <w:szCs w:val="20"/>
        </w:rPr>
        <w:t>schaftsdaten in Europa. Wir liefern Entscheidungsgrundlagen für Handel, Real Estate und Finanzi</w:t>
      </w:r>
      <w:r w:rsidRPr="00F16748">
        <w:rPr>
          <w:rFonts w:ascii="Arial" w:hAnsi="Arial" w:cs="Arial"/>
          <w:i/>
          <w:sz w:val="20"/>
          <w:szCs w:val="20"/>
        </w:rPr>
        <w:t>e</w:t>
      </w:r>
      <w:r w:rsidRPr="00F16748">
        <w:rPr>
          <w:rFonts w:ascii="Arial" w:hAnsi="Arial" w:cs="Arial"/>
          <w:i/>
          <w:sz w:val="20"/>
          <w:szCs w:val="20"/>
        </w:rPr>
        <w:t>rung. Aktuell, klar und sicher.</w:t>
      </w:r>
    </w:p>
    <w:p w14:paraId="7A91E143" w14:textId="77777777" w:rsidR="00D60A03" w:rsidRPr="00F16748" w:rsidRDefault="00D60A03">
      <w:pPr>
        <w:rPr>
          <w:rFonts w:ascii="Arial" w:hAnsi="Arial" w:cs="Arial"/>
          <w:sz w:val="20"/>
          <w:szCs w:val="20"/>
        </w:rPr>
      </w:pPr>
    </w:p>
    <w:sectPr w:rsidR="00D60A03" w:rsidRPr="00F16748" w:rsidSect="003B0D82">
      <w:headerReference w:type="default" r:id="rId11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54938" w14:textId="77777777" w:rsidR="009C4D25" w:rsidRDefault="009C4D25" w:rsidP="003A3070">
      <w:pPr>
        <w:spacing w:after="0" w:line="240" w:lineRule="auto"/>
      </w:pPr>
      <w:r>
        <w:separator/>
      </w:r>
    </w:p>
  </w:endnote>
  <w:endnote w:type="continuationSeparator" w:id="0">
    <w:p w14:paraId="2594A323" w14:textId="77777777" w:rsidR="009C4D25" w:rsidRDefault="009C4D25" w:rsidP="003A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475EC" w14:textId="77777777" w:rsidR="009C4D25" w:rsidRDefault="009C4D25" w:rsidP="003A3070">
      <w:pPr>
        <w:spacing w:after="0" w:line="240" w:lineRule="auto"/>
      </w:pPr>
      <w:r>
        <w:separator/>
      </w:r>
    </w:p>
  </w:footnote>
  <w:footnote w:type="continuationSeparator" w:id="0">
    <w:p w14:paraId="1B7A0A39" w14:textId="77777777" w:rsidR="009C4D25" w:rsidRDefault="009C4D25" w:rsidP="003A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63DB1" w14:textId="09D5C37D" w:rsidR="006A56BD" w:rsidRDefault="003B0D82" w:rsidP="008437F5">
    <w:pPr>
      <w:pStyle w:val="Kopfzeile"/>
      <w:tabs>
        <w:tab w:val="left" w:pos="6960"/>
      </w:tabs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454F8" wp14:editId="333D5A0A">
              <wp:simplePos x="0" y="0"/>
              <wp:positionH relativeFrom="column">
                <wp:posOffset>-945886</wp:posOffset>
              </wp:positionH>
              <wp:positionV relativeFrom="paragraph">
                <wp:posOffset>397510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31.3pt" to="527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" strokecolor="#525556" strokeweight=".5pt">
              <v:stroke joinstyle="miter"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96AF3" wp14:editId="1EBFF575">
              <wp:simplePos x="0" y="0"/>
              <wp:positionH relativeFrom="column">
                <wp:posOffset>-527050</wp:posOffset>
              </wp:positionH>
              <wp:positionV relativeFrom="paragraph">
                <wp:posOffset>-111760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74744" w14:textId="6EAFC24A" w:rsidR="003B0D82" w:rsidRPr="00BB17FA" w:rsidRDefault="003B0D82" w:rsidP="003B0D82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</w:pPr>
                          <w:r w:rsidRPr="00BB17FA"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  <w:t>PRESSEMITEILUNG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41.5pt;margin-top:-8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" filled="f" stroked="f" strokeweight=".5pt">
              <v:textbox>
                <w:txbxContent>
                  <w:p w14:paraId="5CE74744" w14:textId="6EAFC24A" w:rsidR="003B0D82" w:rsidRPr="00BB17FA" w:rsidRDefault="003B0D82" w:rsidP="003B0D82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</w:pP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PRESSEMITE</w:t>
                    </w: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I</w:t>
                    </w: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986B709" wp14:editId="044ECF2C">
          <wp:simplePos x="0" y="0"/>
          <wp:positionH relativeFrom="column">
            <wp:posOffset>3840480</wp:posOffset>
          </wp:positionH>
          <wp:positionV relativeFrom="paragraph">
            <wp:posOffset>-284480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7F5">
      <w:tab/>
    </w:r>
    <w:r w:rsidR="008437F5">
      <w:tab/>
    </w:r>
    <w:r w:rsidR="008437F5">
      <w:tab/>
    </w:r>
    <w:r w:rsidR="008437F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F62"/>
    <w:multiLevelType w:val="hybridMultilevel"/>
    <w:tmpl w:val="7ADE24C8"/>
    <w:lvl w:ilvl="0" w:tplc="8AA6993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  <w:i w:val="0"/>
        <w:color w:val="009ADB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4E44BE"/>
    <w:multiLevelType w:val="hybridMultilevel"/>
    <w:tmpl w:val="DB0A89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10"/>
    <w:rsid w:val="00006A74"/>
    <w:rsid w:val="00023532"/>
    <w:rsid w:val="00025FD8"/>
    <w:rsid w:val="00032A18"/>
    <w:rsid w:val="000361E5"/>
    <w:rsid w:val="0004461F"/>
    <w:rsid w:val="00046F11"/>
    <w:rsid w:val="00063E99"/>
    <w:rsid w:val="00064567"/>
    <w:rsid w:val="00066988"/>
    <w:rsid w:val="0007443E"/>
    <w:rsid w:val="00082355"/>
    <w:rsid w:val="000853B1"/>
    <w:rsid w:val="00085804"/>
    <w:rsid w:val="00085FD6"/>
    <w:rsid w:val="0008792A"/>
    <w:rsid w:val="000904E9"/>
    <w:rsid w:val="00090AA4"/>
    <w:rsid w:val="00091B24"/>
    <w:rsid w:val="00093D09"/>
    <w:rsid w:val="000A7664"/>
    <w:rsid w:val="000B529D"/>
    <w:rsid w:val="000C1CE1"/>
    <w:rsid w:val="000C4B00"/>
    <w:rsid w:val="000D4987"/>
    <w:rsid w:val="000E6CDA"/>
    <w:rsid w:val="000E6E82"/>
    <w:rsid w:val="000F0744"/>
    <w:rsid w:val="000F72E6"/>
    <w:rsid w:val="00102930"/>
    <w:rsid w:val="001119B8"/>
    <w:rsid w:val="00112A2C"/>
    <w:rsid w:val="001135D7"/>
    <w:rsid w:val="001226E9"/>
    <w:rsid w:val="001348CE"/>
    <w:rsid w:val="00137A41"/>
    <w:rsid w:val="0014291F"/>
    <w:rsid w:val="00153BF4"/>
    <w:rsid w:val="0016175D"/>
    <w:rsid w:val="00161D27"/>
    <w:rsid w:val="001655E7"/>
    <w:rsid w:val="001869D3"/>
    <w:rsid w:val="00192D47"/>
    <w:rsid w:val="00193724"/>
    <w:rsid w:val="00193CF1"/>
    <w:rsid w:val="00197331"/>
    <w:rsid w:val="001A287D"/>
    <w:rsid w:val="001A5C6C"/>
    <w:rsid w:val="001B0CE7"/>
    <w:rsid w:val="001C14C2"/>
    <w:rsid w:val="001D6A74"/>
    <w:rsid w:val="001E3642"/>
    <w:rsid w:val="001F68E9"/>
    <w:rsid w:val="002014D2"/>
    <w:rsid w:val="002022D6"/>
    <w:rsid w:val="00214B28"/>
    <w:rsid w:val="002168A4"/>
    <w:rsid w:val="00217E1B"/>
    <w:rsid w:val="00222DF0"/>
    <w:rsid w:val="00234BA7"/>
    <w:rsid w:val="00237D88"/>
    <w:rsid w:val="002515A3"/>
    <w:rsid w:val="00253E4A"/>
    <w:rsid w:val="002605DE"/>
    <w:rsid w:val="00261A5D"/>
    <w:rsid w:val="0026426C"/>
    <w:rsid w:val="002661C8"/>
    <w:rsid w:val="00267262"/>
    <w:rsid w:val="002705E9"/>
    <w:rsid w:val="00271AD1"/>
    <w:rsid w:val="002721CA"/>
    <w:rsid w:val="0028404B"/>
    <w:rsid w:val="00285128"/>
    <w:rsid w:val="00290046"/>
    <w:rsid w:val="00293865"/>
    <w:rsid w:val="002A0F8F"/>
    <w:rsid w:val="002A663A"/>
    <w:rsid w:val="002B764D"/>
    <w:rsid w:val="002C2870"/>
    <w:rsid w:val="002C2BD7"/>
    <w:rsid w:val="002C729B"/>
    <w:rsid w:val="002C7A4D"/>
    <w:rsid w:val="002D5F14"/>
    <w:rsid w:val="00311979"/>
    <w:rsid w:val="0031315E"/>
    <w:rsid w:val="00315059"/>
    <w:rsid w:val="0032167A"/>
    <w:rsid w:val="00331D2D"/>
    <w:rsid w:val="003329D9"/>
    <w:rsid w:val="0033438B"/>
    <w:rsid w:val="00341E3D"/>
    <w:rsid w:val="00343661"/>
    <w:rsid w:val="00345577"/>
    <w:rsid w:val="00350034"/>
    <w:rsid w:val="0035197C"/>
    <w:rsid w:val="0035648A"/>
    <w:rsid w:val="0035719E"/>
    <w:rsid w:val="003629A5"/>
    <w:rsid w:val="00364599"/>
    <w:rsid w:val="00370477"/>
    <w:rsid w:val="003830A5"/>
    <w:rsid w:val="0038355B"/>
    <w:rsid w:val="0039764B"/>
    <w:rsid w:val="003A1D2F"/>
    <w:rsid w:val="003A3070"/>
    <w:rsid w:val="003A7A0F"/>
    <w:rsid w:val="003B0D82"/>
    <w:rsid w:val="003B23D9"/>
    <w:rsid w:val="003B435E"/>
    <w:rsid w:val="003D0026"/>
    <w:rsid w:val="003D592C"/>
    <w:rsid w:val="003F2D82"/>
    <w:rsid w:val="004169BD"/>
    <w:rsid w:val="00421196"/>
    <w:rsid w:val="00423EB0"/>
    <w:rsid w:val="00423ECE"/>
    <w:rsid w:val="004353E0"/>
    <w:rsid w:val="004421DC"/>
    <w:rsid w:val="00450A87"/>
    <w:rsid w:val="00451FA5"/>
    <w:rsid w:val="00462611"/>
    <w:rsid w:val="00464440"/>
    <w:rsid w:val="00465525"/>
    <w:rsid w:val="004660BB"/>
    <w:rsid w:val="004733A4"/>
    <w:rsid w:val="0048389E"/>
    <w:rsid w:val="004838D5"/>
    <w:rsid w:val="004928FB"/>
    <w:rsid w:val="00495C79"/>
    <w:rsid w:val="0049698F"/>
    <w:rsid w:val="00497052"/>
    <w:rsid w:val="004A19EF"/>
    <w:rsid w:val="004B46B1"/>
    <w:rsid w:val="004B5827"/>
    <w:rsid w:val="004C29EB"/>
    <w:rsid w:val="004D109A"/>
    <w:rsid w:val="004D4414"/>
    <w:rsid w:val="004F0542"/>
    <w:rsid w:val="004F26C3"/>
    <w:rsid w:val="0050547B"/>
    <w:rsid w:val="00510AE5"/>
    <w:rsid w:val="0051314C"/>
    <w:rsid w:val="00513CD5"/>
    <w:rsid w:val="00514F99"/>
    <w:rsid w:val="005239EA"/>
    <w:rsid w:val="00524653"/>
    <w:rsid w:val="00526A57"/>
    <w:rsid w:val="00527403"/>
    <w:rsid w:val="005278B5"/>
    <w:rsid w:val="005306C6"/>
    <w:rsid w:val="00530AE0"/>
    <w:rsid w:val="00534F7C"/>
    <w:rsid w:val="00542ACE"/>
    <w:rsid w:val="00554A33"/>
    <w:rsid w:val="00560672"/>
    <w:rsid w:val="00576B1A"/>
    <w:rsid w:val="00576E50"/>
    <w:rsid w:val="00580847"/>
    <w:rsid w:val="005845EC"/>
    <w:rsid w:val="0059571F"/>
    <w:rsid w:val="005A2E86"/>
    <w:rsid w:val="005A48A8"/>
    <w:rsid w:val="005B3CDA"/>
    <w:rsid w:val="005B4452"/>
    <w:rsid w:val="005B67CA"/>
    <w:rsid w:val="005B6977"/>
    <w:rsid w:val="005D2075"/>
    <w:rsid w:val="005D22BF"/>
    <w:rsid w:val="005D4CFA"/>
    <w:rsid w:val="005E1CAB"/>
    <w:rsid w:val="005E6F44"/>
    <w:rsid w:val="005F0EB4"/>
    <w:rsid w:val="00603D5E"/>
    <w:rsid w:val="00623C25"/>
    <w:rsid w:val="006265BE"/>
    <w:rsid w:val="00631AC4"/>
    <w:rsid w:val="006372FD"/>
    <w:rsid w:val="00644E07"/>
    <w:rsid w:val="006450F0"/>
    <w:rsid w:val="00652F8E"/>
    <w:rsid w:val="00653575"/>
    <w:rsid w:val="006605D8"/>
    <w:rsid w:val="0066711C"/>
    <w:rsid w:val="0067725A"/>
    <w:rsid w:val="00681168"/>
    <w:rsid w:val="006850B3"/>
    <w:rsid w:val="00686047"/>
    <w:rsid w:val="0069577D"/>
    <w:rsid w:val="00696864"/>
    <w:rsid w:val="006A56BD"/>
    <w:rsid w:val="006A5AE1"/>
    <w:rsid w:val="006B49D4"/>
    <w:rsid w:val="006B5D80"/>
    <w:rsid w:val="006D58AE"/>
    <w:rsid w:val="006E384B"/>
    <w:rsid w:val="006E53BF"/>
    <w:rsid w:val="006F27C7"/>
    <w:rsid w:val="006F432D"/>
    <w:rsid w:val="006F4902"/>
    <w:rsid w:val="006F6C74"/>
    <w:rsid w:val="00702555"/>
    <w:rsid w:val="0070379B"/>
    <w:rsid w:val="00711869"/>
    <w:rsid w:val="00713221"/>
    <w:rsid w:val="00716642"/>
    <w:rsid w:val="00716B7C"/>
    <w:rsid w:val="007233FA"/>
    <w:rsid w:val="007375DD"/>
    <w:rsid w:val="00745A4C"/>
    <w:rsid w:val="00751534"/>
    <w:rsid w:val="00755CB5"/>
    <w:rsid w:val="00763110"/>
    <w:rsid w:val="00766628"/>
    <w:rsid w:val="00771020"/>
    <w:rsid w:val="00784791"/>
    <w:rsid w:val="0078629F"/>
    <w:rsid w:val="00795A39"/>
    <w:rsid w:val="007C4D4C"/>
    <w:rsid w:val="007D0E74"/>
    <w:rsid w:val="007D0F01"/>
    <w:rsid w:val="007D2148"/>
    <w:rsid w:val="007D555A"/>
    <w:rsid w:val="007D70B3"/>
    <w:rsid w:val="007D7648"/>
    <w:rsid w:val="007E0ABC"/>
    <w:rsid w:val="007F51B4"/>
    <w:rsid w:val="007F72C6"/>
    <w:rsid w:val="0080126A"/>
    <w:rsid w:val="00801872"/>
    <w:rsid w:val="00807249"/>
    <w:rsid w:val="00812314"/>
    <w:rsid w:val="00815048"/>
    <w:rsid w:val="00822296"/>
    <w:rsid w:val="00824C2B"/>
    <w:rsid w:val="0084056B"/>
    <w:rsid w:val="00842AC9"/>
    <w:rsid w:val="008437F5"/>
    <w:rsid w:val="00843B68"/>
    <w:rsid w:val="008479FE"/>
    <w:rsid w:val="008518CB"/>
    <w:rsid w:val="00862EDC"/>
    <w:rsid w:val="00863906"/>
    <w:rsid w:val="0086391F"/>
    <w:rsid w:val="008677E8"/>
    <w:rsid w:val="00873DBF"/>
    <w:rsid w:val="0089262F"/>
    <w:rsid w:val="00894D4C"/>
    <w:rsid w:val="008A0548"/>
    <w:rsid w:val="008A2B8E"/>
    <w:rsid w:val="008B28CB"/>
    <w:rsid w:val="008C5C5A"/>
    <w:rsid w:val="008C7948"/>
    <w:rsid w:val="008D5C0B"/>
    <w:rsid w:val="008D6D08"/>
    <w:rsid w:val="008D6DD7"/>
    <w:rsid w:val="008E4E01"/>
    <w:rsid w:val="009024C9"/>
    <w:rsid w:val="0090627A"/>
    <w:rsid w:val="00906644"/>
    <w:rsid w:val="00911DD1"/>
    <w:rsid w:val="009305C5"/>
    <w:rsid w:val="0093692B"/>
    <w:rsid w:val="00944833"/>
    <w:rsid w:val="00961625"/>
    <w:rsid w:val="00970569"/>
    <w:rsid w:val="00974DDB"/>
    <w:rsid w:val="00981F9B"/>
    <w:rsid w:val="00984D6D"/>
    <w:rsid w:val="009859E4"/>
    <w:rsid w:val="00995AB2"/>
    <w:rsid w:val="009965E4"/>
    <w:rsid w:val="009A45D4"/>
    <w:rsid w:val="009A5478"/>
    <w:rsid w:val="009B3C58"/>
    <w:rsid w:val="009B3DEB"/>
    <w:rsid w:val="009B7CCD"/>
    <w:rsid w:val="009C251A"/>
    <w:rsid w:val="009C44B7"/>
    <w:rsid w:val="009C4D25"/>
    <w:rsid w:val="009D2B7C"/>
    <w:rsid w:val="009D491E"/>
    <w:rsid w:val="009E4B92"/>
    <w:rsid w:val="009E5293"/>
    <w:rsid w:val="009F2772"/>
    <w:rsid w:val="009F4C3A"/>
    <w:rsid w:val="00A00B26"/>
    <w:rsid w:val="00A076AD"/>
    <w:rsid w:val="00A14CC1"/>
    <w:rsid w:val="00A150C8"/>
    <w:rsid w:val="00A204BE"/>
    <w:rsid w:val="00A24011"/>
    <w:rsid w:val="00A314BB"/>
    <w:rsid w:val="00A35898"/>
    <w:rsid w:val="00A35CAA"/>
    <w:rsid w:val="00A41437"/>
    <w:rsid w:val="00A43B9C"/>
    <w:rsid w:val="00A51C98"/>
    <w:rsid w:val="00A57114"/>
    <w:rsid w:val="00A66287"/>
    <w:rsid w:val="00A756F2"/>
    <w:rsid w:val="00A9495B"/>
    <w:rsid w:val="00A95168"/>
    <w:rsid w:val="00AA13FF"/>
    <w:rsid w:val="00AB045C"/>
    <w:rsid w:val="00AB2184"/>
    <w:rsid w:val="00AC0D1B"/>
    <w:rsid w:val="00AC0E95"/>
    <w:rsid w:val="00AD124B"/>
    <w:rsid w:val="00AE09C7"/>
    <w:rsid w:val="00AE0F0C"/>
    <w:rsid w:val="00AE6C2A"/>
    <w:rsid w:val="00AF37AD"/>
    <w:rsid w:val="00B065C6"/>
    <w:rsid w:val="00B11417"/>
    <w:rsid w:val="00B23737"/>
    <w:rsid w:val="00B40DA7"/>
    <w:rsid w:val="00B4516F"/>
    <w:rsid w:val="00B51435"/>
    <w:rsid w:val="00B53485"/>
    <w:rsid w:val="00B53C97"/>
    <w:rsid w:val="00B54656"/>
    <w:rsid w:val="00B55448"/>
    <w:rsid w:val="00B55742"/>
    <w:rsid w:val="00B756A9"/>
    <w:rsid w:val="00B75DBB"/>
    <w:rsid w:val="00B77965"/>
    <w:rsid w:val="00B80D70"/>
    <w:rsid w:val="00B839AC"/>
    <w:rsid w:val="00B84A5E"/>
    <w:rsid w:val="00B87099"/>
    <w:rsid w:val="00B93D92"/>
    <w:rsid w:val="00B94669"/>
    <w:rsid w:val="00BA04FC"/>
    <w:rsid w:val="00BA303D"/>
    <w:rsid w:val="00BB17FA"/>
    <w:rsid w:val="00BC0500"/>
    <w:rsid w:val="00BC093A"/>
    <w:rsid w:val="00BC2BA6"/>
    <w:rsid w:val="00BC566A"/>
    <w:rsid w:val="00BC778D"/>
    <w:rsid w:val="00BD1C87"/>
    <w:rsid w:val="00BD599F"/>
    <w:rsid w:val="00BD72E1"/>
    <w:rsid w:val="00BE1385"/>
    <w:rsid w:val="00BE7E49"/>
    <w:rsid w:val="00BF3551"/>
    <w:rsid w:val="00BF4353"/>
    <w:rsid w:val="00BF61DF"/>
    <w:rsid w:val="00C07602"/>
    <w:rsid w:val="00C13CA3"/>
    <w:rsid w:val="00C215B1"/>
    <w:rsid w:val="00C2548F"/>
    <w:rsid w:val="00C37983"/>
    <w:rsid w:val="00C41CB6"/>
    <w:rsid w:val="00C448DD"/>
    <w:rsid w:val="00C8390A"/>
    <w:rsid w:val="00C84408"/>
    <w:rsid w:val="00C84D0A"/>
    <w:rsid w:val="00C94E9E"/>
    <w:rsid w:val="00CB0505"/>
    <w:rsid w:val="00CB228A"/>
    <w:rsid w:val="00CC1EAE"/>
    <w:rsid w:val="00CC2B11"/>
    <w:rsid w:val="00CC7E7E"/>
    <w:rsid w:val="00CD1F89"/>
    <w:rsid w:val="00CD7C31"/>
    <w:rsid w:val="00CF07E6"/>
    <w:rsid w:val="00CF2968"/>
    <w:rsid w:val="00CF4765"/>
    <w:rsid w:val="00CF58AF"/>
    <w:rsid w:val="00CF7DC4"/>
    <w:rsid w:val="00D0602E"/>
    <w:rsid w:val="00D07D01"/>
    <w:rsid w:val="00D179B6"/>
    <w:rsid w:val="00D262F1"/>
    <w:rsid w:val="00D31BD6"/>
    <w:rsid w:val="00D31FBB"/>
    <w:rsid w:val="00D36466"/>
    <w:rsid w:val="00D4043E"/>
    <w:rsid w:val="00D5257F"/>
    <w:rsid w:val="00D533FC"/>
    <w:rsid w:val="00D55635"/>
    <w:rsid w:val="00D577AF"/>
    <w:rsid w:val="00D60A03"/>
    <w:rsid w:val="00D63B8F"/>
    <w:rsid w:val="00D75714"/>
    <w:rsid w:val="00D87F36"/>
    <w:rsid w:val="00D95E9F"/>
    <w:rsid w:val="00DA3DB4"/>
    <w:rsid w:val="00DB1065"/>
    <w:rsid w:val="00DC64FB"/>
    <w:rsid w:val="00DD5158"/>
    <w:rsid w:val="00DD5C86"/>
    <w:rsid w:val="00DD7E2D"/>
    <w:rsid w:val="00DE473F"/>
    <w:rsid w:val="00DE6D36"/>
    <w:rsid w:val="00DE73C4"/>
    <w:rsid w:val="00DF14AA"/>
    <w:rsid w:val="00DF47F4"/>
    <w:rsid w:val="00DF7DC9"/>
    <w:rsid w:val="00E00100"/>
    <w:rsid w:val="00E05212"/>
    <w:rsid w:val="00E10B29"/>
    <w:rsid w:val="00E10FDD"/>
    <w:rsid w:val="00E1100A"/>
    <w:rsid w:val="00E112B9"/>
    <w:rsid w:val="00E207C2"/>
    <w:rsid w:val="00E2652B"/>
    <w:rsid w:val="00E26F15"/>
    <w:rsid w:val="00E278F3"/>
    <w:rsid w:val="00E27932"/>
    <w:rsid w:val="00E36816"/>
    <w:rsid w:val="00E37D41"/>
    <w:rsid w:val="00E428B1"/>
    <w:rsid w:val="00E44DC3"/>
    <w:rsid w:val="00E46700"/>
    <w:rsid w:val="00E56F36"/>
    <w:rsid w:val="00E60128"/>
    <w:rsid w:val="00E73365"/>
    <w:rsid w:val="00E903B7"/>
    <w:rsid w:val="00E94417"/>
    <w:rsid w:val="00E94599"/>
    <w:rsid w:val="00EA044D"/>
    <w:rsid w:val="00EA0617"/>
    <w:rsid w:val="00EA25B4"/>
    <w:rsid w:val="00EA38B1"/>
    <w:rsid w:val="00EA4372"/>
    <w:rsid w:val="00EB27BA"/>
    <w:rsid w:val="00EB5154"/>
    <w:rsid w:val="00EB51E1"/>
    <w:rsid w:val="00EB5404"/>
    <w:rsid w:val="00EB606F"/>
    <w:rsid w:val="00EC628E"/>
    <w:rsid w:val="00ED0EE2"/>
    <w:rsid w:val="00ED4C50"/>
    <w:rsid w:val="00ED76E8"/>
    <w:rsid w:val="00EE1C88"/>
    <w:rsid w:val="00EE1E18"/>
    <w:rsid w:val="00EE30BC"/>
    <w:rsid w:val="00EE3222"/>
    <w:rsid w:val="00EF1653"/>
    <w:rsid w:val="00EF59B1"/>
    <w:rsid w:val="00F04815"/>
    <w:rsid w:val="00F10194"/>
    <w:rsid w:val="00F14A14"/>
    <w:rsid w:val="00F16748"/>
    <w:rsid w:val="00F17295"/>
    <w:rsid w:val="00F33CE3"/>
    <w:rsid w:val="00F3546D"/>
    <w:rsid w:val="00F40837"/>
    <w:rsid w:val="00F43546"/>
    <w:rsid w:val="00F44DDA"/>
    <w:rsid w:val="00F66E2A"/>
    <w:rsid w:val="00F71DFE"/>
    <w:rsid w:val="00F870A3"/>
    <w:rsid w:val="00F95014"/>
    <w:rsid w:val="00F97A13"/>
    <w:rsid w:val="00FA0813"/>
    <w:rsid w:val="00FA2140"/>
    <w:rsid w:val="00FA5B2D"/>
    <w:rsid w:val="00FA646F"/>
    <w:rsid w:val="00FB27CB"/>
    <w:rsid w:val="00FC3394"/>
    <w:rsid w:val="00FD1B90"/>
    <w:rsid w:val="00FD3056"/>
    <w:rsid w:val="00FD33B0"/>
    <w:rsid w:val="00FE0A8B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B13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445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B4452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A307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A307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A307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30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30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307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F36"/>
  </w:style>
  <w:style w:type="paragraph" w:styleId="Fuzeile">
    <w:name w:val="footer"/>
    <w:basedOn w:val="Standard"/>
    <w:link w:val="FuzeileZchn"/>
    <w:uiPriority w:val="99"/>
    <w:unhideWhenUsed/>
    <w:rsid w:val="00D8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7F36"/>
  </w:style>
  <w:style w:type="paragraph" w:styleId="Listenabsatz">
    <w:name w:val="List Paragraph"/>
    <w:basedOn w:val="Standard"/>
    <w:uiPriority w:val="34"/>
    <w:qFormat/>
    <w:rsid w:val="006A5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445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B4452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A307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A307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A307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30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30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307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F36"/>
  </w:style>
  <w:style w:type="paragraph" w:styleId="Fuzeile">
    <w:name w:val="footer"/>
    <w:basedOn w:val="Standard"/>
    <w:link w:val="FuzeileZchn"/>
    <w:uiPriority w:val="99"/>
    <w:unhideWhenUsed/>
    <w:rsid w:val="00D8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7F36"/>
  </w:style>
  <w:style w:type="paragraph" w:styleId="Listenabsatz">
    <w:name w:val="List Paragraph"/>
    <w:basedOn w:val="Standard"/>
    <w:uiPriority w:val="34"/>
    <w:qFormat/>
    <w:rsid w:val="006A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.salihovic@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8EAC-87BF-4165-A555-FC9EB59A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4</cp:revision>
  <cp:lastPrinted>2022-06-29T12:43:00Z</cp:lastPrinted>
  <dcterms:created xsi:type="dcterms:W3CDTF">2022-08-08T07:43:00Z</dcterms:created>
  <dcterms:modified xsi:type="dcterms:W3CDTF">2022-08-08T11:24:00Z</dcterms:modified>
</cp:coreProperties>
</file>