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6B2385E9" w:rsidR="003B0D82" w:rsidRPr="003B0D82" w:rsidRDefault="00F16748" w:rsidP="003B0D82">
      <w:pPr>
        <w:rPr>
          <w:rFonts w:ascii="Arial" w:hAnsi="Arial" w:cs="Arial"/>
          <w:b/>
          <w:bCs/>
          <w:sz w:val="20"/>
          <w:szCs w:val="20"/>
          <w:lang w:val="de-DE"/>
        </w:rPr>
      </w:pPr>
      <w:r w:rsidRPr="00F16748">
        <w:rPr>
          <w:rFonts w:ascii="Arial" w:hAnsi="Arial" w:cs="Arial"/>
          <w:bCs/>
          <w:color w:val="009ADB"/>
          <w:spacing w:val="10"/>
          <w:szCs w:val="20"/>
          <w:lang w:val="de-DE"/>
        </w:rPr>
        <w:t>PRESSEKONTAKT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sidRPr="00F16748">
        <w:rPr>
          <w:rFonts w:ascii="Arial" w:hAnsi="Arial" w:cs="Arial"/>
          <w:bCs/>
          <w:color w:val="009ADB"/>
          <w:spacing w:val="10"/>
          <w:szCs w:val="20"/>
          <w:lang w:val="de-DE"/>
        </w:rPr>
        <w:t>DATUM</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58AFCF0A" w:rsidR="00542ACE" w:rsidRPr="000C1CE1" w:rsidRDefault="00C07602" w:rsidP="000C1CE1">
      <w:pPr>
        <w:spacing w:line="276" w:lineRule="auto"/>
        <w:rPr>
          <w:rFonts w:ascii="Arial" w:hAnsi="Arial" w:cs="Arial"/>
          <w:color w:val="525556"/>
          <w:sz w:val="20"/>
          <w:szCs w:val="20"/>
          <w:lang w:val="de-DE"/>
        </w:rPr>
      </w:pPr>
      <w:r w:rsidRPr="000C1CE1">
        <w:rPr>
          <w:rFonts w:ascii="Arial" w:hAnsi="Arial" w:cs="Arial"/>
          <w:b/>
          <w:color w:val="525556"/>
          <w:sz w:val="20"/>
          <w:szCs w:val="20"/>
          <w:lang w:val="de-DE"/>
        </w:rPr>
        <w:t>RegioData Research GmbH</w:t>
      </w:r>
      <w:r w:rsidR="00513CD5">
        <w:rPr>
          <w:rFonts w:ascii="Arial" w:hAnsi="Arial" w:cs="Arial"/>
          <w:b/>
          <w:color w:val="525556"/>
          <w:sz w:val="20"/>
          <w:szCs w:val="20"/>
          <w:lang w:val="de-DE"/>
        </w:rPr>
        <w:t xml:space="preserve"> </w:t>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CD0FB1">
        <w:rPr>
          <w:rFonts w:ascii="Arial" w:hAnsi="Arial" w:cs="Arial"/>
          <w:b/>
          <w:color w:val="525556"/>
          <w:sz w:val="20"/>
          <w:szCs w:val="20"/>
          <w:lang w:val="de-DE"/>
        </w:rPr>
        <w:t>06. Juli</w:t>
      </w:r>
      <w:r w:rsidR="00513CD5" w:rsidRPr="000C1CE1">
        <w:rPr>
          <w:rFonts w:ascii="Arial" w:hAnsi="Arial" w:cs="Arial"/>
          <w:b/>
          <w:color w:val="525556"/>
          <w:sz w:val="20"/>
          <w:szCs w:val="20"/>
          <w:lang w:val="de-DE"/>
        </w:rPr>
        <w:t xml:space="preserve"> 2022</w:t>
      </w:r>
      <w:r w:rsidR="003B0D82" w:rsidRPr="000C1CE1">
        <w:rPr>
          <w:rFonts w:ascii="Arial" w:hAnsi="Arial" w:cs="Arial"/>
          <w:color w:val="525556"/>
          <w:sz w:val="20"/>
          <w:szCs w:val="20"/>
          <w:lang w:val="de-DE"/>
        </w:rPr>
        <w:br/>
      </w:r>
      <w:r w:rsidR="00CD0FB1">
        <w:rPr>
          <w:rFonts w:ascii="Arial" w:hAnsi="Arial" w:cs="Arial"/>
          <w:color w:val="525556"/>
          <w:sz w:val="20"/>
          <w:szCs w:val="20"/>
          <w:lang w:val="de-DE"/>
        </w:rPr>
        <w:t>Amela Salihovic, M.A.</w:t>
      </w:r>
      <w:r w:rsidR="00CD0FB1">
        <w:rPr>
          <w:rFonts w:ascii="Arial" w:hAnsi="Arial" w:cs="Arial"/>
          <w:color w:val="525556"/>
          <w:sz w:val="20"/>
          <w:szCs w:val="20"/>
          <w:lang w:val="de-DE"/>
        </w:rPr>
        <w:br/>
      </w:r>
      <w:proofErr w:type="spellStart"/>
      <w:r w:rsidR="000C1CE1" w:rsidRPr="000C1CE1">
        <w:rPr>
          <w:rFonts w:ascii="Arial" w:hAnsi="Arial" w:cs="Arial"/>
          <w:color w:val="525556"/>
          <w:sz w:val="20"/>
          <w:szCs w:val="20"/>
          <w:lang w:val="de-DE"/>
        </w:rPr>
        <w:t>Theobaldgasse</w:t>
      </w:r>
      <w:proofErr w:type="spellEnd"/>
      <w:r w:rsidR="000C1CE1" w:rsidRPr="000C1CE1">
        <w:rPr>
          <w:rFonts w:ascii="Arial" w:hAnsi="Arial" w:cs="Arial"/>
          <w:color w:val="525556"/>
          <w:sz w:val="20"/>
          <w:szCs w:val="20"/>
          <w:lang w:val="de-DE"/>
        </w:rPr>
        <w:t xml:space="preserve"> 8 | </w:t>
      </w:r>
      <w:r w:rsidRPr="000C1CE1">
        <w:rPr>
          <w:rFonts w:ascii="Arial" w:hAnsi="Arial" w:cs="Arial"/>
          <w:color w:val="525556"/>
          <w:sz w:val="20"/>
          <w:szCs w:val="20"/>
          <w:lang w:val="de-DE"/>
        </w:rPr>
        <w:t>1060 Wien</w:t>
      </w:r>
      <w:r w:rsidRPr="000C1CE1">
        <w:rPr>
          <w:rFonts w:ascii="Arial" w:hAnsi="Arial" w:cs="Arial"/>
          <w:color w:val="525556"/>
          <w:sz w:val="20"/>
          <w:szCs w:val="20"/>
          <w:lang w:val="de-DE"/>
        </w:rPr>
        <w:br/>
        <w:t>+43 1 585 76 27</w:t>
      </w:r>
      <w:r w:rsidR="00B02510">
        <w:rPr>
          <w:rFonts w:ascii="Arial" w:hAnsi="Arial" w:cs="Arial"/>
          <w:color w:val="525556"/>
          <w:sz w:val="20"/>
          <w:szCs w:val="20"/>
          <w:lang w:val="de-DE"/>
        </w:rPr>
        <w:t>-50</w:t>
      </w:r>
      <w:bookmarkStart w:id="0" w:name="_GoBack"/>
      <w:bookmarkEnd w:id="0"/>
      <w:r w:rsidR="003B0D82" w:rsidRPr="000C1CE1">
        <w:rPr>
          <w:rFonts w:ascii="Arial" w:hAnsi="Arial" w:cs="Arial"/>
          <w:color w:val="525556"/>
          <w:sz w:val="20"/>
          <w:szCs w:val="20"/>
          <w:lang w:val="de-DE"/>
        </w:rPr>
        <w:br/>
      </w:r>
      <w:hyperlink r:id="rId9" w:history="1">
        <w:r w:rsidR="00CD0FB1" w:rsidRPr="00F10987">
          <w:rPr>
            <w:rFonts w:ascii="Arial" w:hAnsi="Arial" w:cs="Arial"/>
            <w:color w:val="525556"/>
            <w:sz w:val="20"/>
            <w:szCs w:val="20"/>
            <w:lang w:val="de-DE"/>
          </w:rPr>
          <w:t>a.salihovic@regiodata.eu</w:t>
        </w:r>
      </w:hyperlink>
      <w:r w:rsidR="003B0D82" w:rsidRPr="00F10987">
        <w:rPr>
          <w:rFonts w:ascii="Arial" w:hAnsi="Arial" w:cs="Arial"/>
          <w:sz w:val="20"/>
          <w:szCs w:val="20"/>
        </w:rPr>
        <w:br/>
      </w:r>
      <w:r w:rsidR="00BC778D" w:rsidRPr="000C1CE1">
        <w:rPr>
          <w:rFonts w:ascii="Arial" w:hAnsi="Arial" w:cs="Arial"/>
          <w:color w:val="525556"/>
          <w:sz w:val="20"/>
          <w:szCs w:val="20"/>
          <w:lang w:val="de-DE"/>
        </w:rPr>
        <w:t>www.regiodata.eu</w:t>
      </w:r>
    </w:p>
    <w:p w14:paraId="1CBE0E32" w14:textId="77777777" w:rsidR="009D2B7C" w:rsidRPr="003B0D82" w:rsidRDefault="009D2B7C">
      <w:pPr>
        <w:rPr>
          <w:rFonts w:ascii="Arial" w:hAnsi="Arial" w:cs="Arial"/>
          <w:sz w:val="20"/>
          <w:szCs w:val="20"/>
          <w:lang w:val="de-DE"/>
        </w:rPr>
      </w:pPr>
    </w:p>
    <w:p w14:paraId="79898555" w14:textId="77777777" w:rsidR="009D2B7C" w:rsidRPr="003B0D82" w:rsidRDefault="009D2B7C" w:rsidP="00807249">
      <w:pPr>
        <w:jc w:val="both"/>
        <w:rPr>
          <w:rFonts w:ascii="Arial" w:hAnsi="Arial" w:cs="Arial"/>
          <w:sz w:val="20"/>
          <w:szCs w:val="20"/>
          <w:lang w:val="de-DE"/>
        </w:rPr>
      </w:pPr>
    </w:p>
    <w:p w14:paraId="7F11B868" w14:textId="21BAEB84" w:rsidR="00A9495B" w:rsidRPr="00F16748" w:rsidRDefault="00CD0FB1" w:rsidP="000C1CE1">
      <w:pPr>
        <w:jc w:val="both"/>
        <w:rPr>
          <w:rFonts w:ascii="Arial" w:hAnsi="Arial" w:cs="Arial"/>
          <w:b/>
          <w:bCs/>
          <w:strike/>
          <w:color w:val="009ADB"/>
          <w:sz w:val="20"/>
          <w:szCs w:val="20"/>
          <w:lang w:val="de-DE"/>
        </w:rPr>
      </w:pPr>
      <w:r>
        <w:rPr>
          <w:rFonts w:ascii="Arial" w:hAnsi="Arial" w:cs="Arial"/>
          <w:bCs/>
          <w:color w:val="009ADB"/>
          <w:spacing w:val="10"/>
          <w:sz w:val="24"/>
          <w:szCs w:val="20"/>
          <w:lang w:val="de-DE"/>
        </w:rPr>
        <w:t xml:space="preserve">REGIODATA STUDIE: </w:t>
      </w:r>
      <w:r>
        <w:rPr>
          <w:rFonts w:ascii="Arial" w:hAnsi="Arial" w:cs="Arial"/>
          <w:bCs/>
          <w:color w:val="009ADB"/>
          <w:spacing w:val="10"/>
          <w:sz w:val="24"/>
          <w:szCs w:val="20"/>
          <w:lang w:val="de-DE"/>
        </w:rPr>
        <w:tab/>
        <w:t>ERNÜCHTERUNG IM ONLINEHANDEL!</w:t>
      </w:r>
    </w:p>
    <w:p w14:paraId="0425CD2B" w14:textId="77777777" w:rsidR="00CD0FB1" w:rsidRDefault="00CD0FB1" w:rsidP="00807249">
      <w:pPr>
        <w:spacing w:line="360" w:lineRule="auto"/>
        <w:jc w:val="both"/>
        <w:rPr>
          <w:rFonts w:ascii="Arial" w:hAnsi="Arial" w:cs="Arial"/>
          <w:b/>
          <w:bCs/>
          <w:sz w:val="20"/>
          <w:szCs w:val="20"/>
          <w:lang w:val="de-DE"/>
        </w:rPr>
      </w:pPr>
      <w:r w:rsidRPr="00CD0FB1">
        <w:rPr>
          <w:rFonts w:ascii="Arial" w:hAnsi="Arial" w:cs="Arial"/>
          <w:b/>
          <w:bCs/>
          <w:sz w:val="20"/>
          <w:szCs w:val="20"/>
          <w:lang w:val="de-DE"/>
        </w:rPr>
        <w:t>RegioData Research präsentiert die Ergebnisse der Analyse der 1.000 für die Österreicher wichtigsten Onlineshops: Ernüchterung nach dem Corona-Kick, starke Konzentrationstende</w:t>
      </w:r>
      <w:r w:rsidRPr="00CD0FB1">
        <w:rPr>
          <w:rFonts w:ascii="Arial" w:hAnsi="Arial" w:cs="Arial"/>
          <w:b/>
          <w:bCs/>
          <w:sz w:val="20"/>
          <w:szCs w:val="20"/>
          <w:lang w:val="de-DE"/>
        </w:rPr>
        <w:t>n</w:t>
      </w:r>
      <w:r w:rsidRPr="00CD0FB1">
        <w:rPr>
          <w:rFonts w:ascii="Arial" w:hAnsi="Arial" w:cs="Arial"/>
          <w:b/>
          <w:bCs/>
          <w:sz w:val="20"/>
          <w:szCs w:val="20"/>
          <w:lang w:val="de-DE"/>
        </w:rPr>
        <w:t>zen und spezialisierte Shooting-Stars.</w:t>
      </w:r>
    </w:p>
    <w:p w14:paraId="5CD98CDD" w14:textId="393C90C3" w:rsidR="00807249" w:rsidRDefault="00350034" w:rsidP="00807249">
      <w:pPr>
        <w:spacing w:line="360" w:lineRule="auto"/>
        <w:jc w:val="both"/>
        <w:rPr>
          <w:rFonts w:ascii="Arial" w:hAnsi="Arial" w:cs="Arial"/>
          <w:b/>
          <w:bCs/>
          <w:sz w:val="20"/>
          <w:szCs w:val="20"/>
          <w:lang w:val="de-DE"/>
        </w:rPr>
      </w:pPr>
      <w:r w:rsidRPr="003B0D82">
        <w:rPr>
          <w:rFonts w:ascii="Arial" w:hAnsi="Arial" w:cs="Arial"/>
          <w:b/>
          <w:bCs/>
          <w:sz w:val="20"/>
          <w:szCs w:val="20"/>
          <w:lang w:val="de-DE"/>
        </w:rPr>
        <w:t xml:space="preserve"> </w:t>
      </w:r>
    </w:p>
    <w:p w14:paraId="4F8EA3FC" w14:textId="7F6B15FE" w:rsidR="00C2548F" w:rsidRPr="00F16748" w:rsidRDefault="00CD0FB1" w:rsidP="00807249">
      <w:pPr>
        <w:spacing w:line="360" w:lineRule="auto"/>
        <w:jc w:val="both"/>
        <w:rPr>
          <w:rFonts w:ascii="Arial" w:hAnsi="Arial" w:cs="Arial"/>
          <w:b/>
          <w:bCs/>
          <w:spacing w:val="10"/>
          <w:sz w:val="20"/>
          <w:szCs w:val="20"/>
          <w:lang w:val="de-DE"/>
        </w:rPr>
      </w:pPr>
      <w:r>
        <w:rPr>
          <w:rFonts w:ascii="Arial" w:hAnsi="Arial" w:cs="Arial"/>
          <w:bCs/>
          <w:spacing w:val="10"/>
          <w:sz w:val="24"/>
          <w:szCs w:val="20"/>
          <w:lang w:val="de-DE"/>
        </w:rPr>
        <w:t>Zuwächse sind derzeit sehr bescheiden</w:t>
      </w:r>
    </w:p>
    <w:p w14:paraId="04383D46" w14:textId="3B83926C" w:rsidR="00C84408"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 xml:space="preserve">Nachdem der Onlinehandel in Österreich von 2019 auf 2020 – natürlich </w:t>
      </w:r>
      <w:proofErr w:type="spellStart"/>
      <w:r w:rsidRPr="00CD0FB1">
        <w:rPr>
          <w:rFonts w:ascii="Arial" w:hAnsi="Arial" w:cs="Arial"/>
          <w:sz w:val="20"/>
          <w:szCs w:val="20"/>
          <w:lang w:val="de-DE"/>
        </w:rPr>
        <w:t>coronabedingt</w:t>
      </w:r>
      <w:proofErr w:type="spellEnd"/>
      <w:r w:rsidRPr="00CD0FB1">
        <w:rPr>
          <w:rFonts w:ascii="Arial" w:hAnsi="Arial" w:cs="Arial"/>
          <w:sz w:val="20"/>
          <w:szCs w:val="20"/>
          <w:lang w:val="de-DE"/>
        </w:rPr>
        <w:t xml:space="preserve"> – mit fast + 20 % - einen regelrecht astronomischen Sprung nach oben gemacht hat, fiel die Steigerung von 2020 auf 2021 mit bescheidenen 4 % wieder wesentlich geringer aus. Aktuell fließen von den österreichischen Haushalten 11,3 Mrd. € pro Jahr ins Internet. Für das laufende Jahr 2022 ist mit einer Steigerung von lediglich 4,3 % zu rechnen.  Die zu erwartende höhere Inflation wird jedoch letztlich zu einem deutl</w:t>
      </w:r>
      <w:r w:rsidRPr="00CD0FB1">
        <w:rPr>
          <w:rFonts w:ascii="Arial" w:hAnsi="Arial" w:cs="Arial"/>
          <w:sz w:val="20"/>
          <w:szCs w:val="20"/>
          <w:lang w:val="de-DE"/>
        </w:rPr>
        <w:t>i</w:t>
      </w:r>
      <w:r w:rsidRPr="00CD0FB1">
        <w:rPr>
          <w:rFonts w:ascii="Arial" w:hAnsi="Arial" w:cs="Arial"/>
          <w:sz w:val="20"/>
          <w:szCs w:val="20"/>
          <w:lang w:val="de-DE"/>
        </w:rPr>
        <w:t>chen realen Rückgang führen – erstmals seit der Eröffnung des ersten Onlineshops.</w:t>
      </w:r>
    </w:p>
    <w:p w14:paraId="4194FB79" w14:textId="77777777" w:rsidR="00CD0FB1" w:rsidRPr="00F16748" w:rsidRDefault="00CD0FB1" w:rsidP="006265BE">
      <w:pPr>
        <w:spacing w:line="360" w:lineRule="auto"/>
        <w:rPr>
          <w:rFonts w:ascii="Arial" w:hAnsi="Arial" w:cs="Arial"/>
          <w:sz w:val="20"/>
          <w:szCs w:val="20"/>
          <w:lang w:val="de-DE"/>
        </w:rPr>
      </w:pPr>
    </w:p>
    <w:p w14:paraId="7C4865B2" w14:textId="42763E11" w:rsidR="00102930" w:rsidRPr="00F16748" w:rsidRDefault="00CD0FB1" w:rsidP="00807249">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Doch der Siegeszug ist nicht aufzuhalten</w:t>
      </w:r>
    </w:p>
    <w:p w14:paraId="0C3E988A" w14:textId="77777777"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Im Jahr 2021 betrugen die Onlineausgaben pro Einwohner in Österreich 1 265,3 €, das sind 16,2 % aller einzelhandelsrelevanten Konsumausgaben. Durch Corona wurden neue Kundengruppen gewo</w:t>
      </w:r>
      <w:r w:rsidRPr="00CD0FB1">
        <w:rPr>
          <w:rFonts w:ascii="Arial" w:hAnsi="Arial" w:cs="Arial"/>
          <w:sz w:val="20"/>
          <w:szCs w:val="20"/>
          <w:lang w:val="de-DE"/>
        </w:rPr>
        <w:t>n</w:t>
      </w:r>
      <w:r w:rsidRPr="00CD0FB1">
        <w:rPr>
          <w:rFonts w:ascii="Arial" w:hAnsi="Arial" w:cs="Arial"/>
          <w:sz w:val="20"/>
          <w:szCs w:val="20"/>
          <w:lang w:val="de-DE"/>
        </w:rPr>
        <w:t>nen und die Jungen sind ohnehin deutlich online-affiner, sodass mittel- und langfristig jedenfalls mit Steigerungen zu rechnen ist. Je nach Szenario wird der Onlineanteil in Österreich innerhalb der nächsten 3 Jahre bereits zwischen 20 und 22 % liegen.</w:t>
      </w:r>
    </w:p>
    <w:p w14:paraId="586EB016" w14:textId="415A187A"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Aber auch international gesehen ist der langfristige Siegeszug nicht aufzuhalten. Während vor allem in einigen asiatischen Ländern bereits Onlineanteile von bis zu 40 % am gesamten Einzel-handelsvolumen erreicht werden, variiert der Onlineanteil in Europa derzeit noch zwischen 5 % und 27 %. Auf europäischem Terrain herrscht diesbezüglich ein klares Nordwest-Südost-Gefälle. Zudem sind für das Ausmaß der Onlineanteile die Höhe der Kaufkr</w:t>
      </w:r>
      <w:r>
        <w:rPr>
          <w:rFonts w:ascii="Arial" w:hAnsi="Arial" w:cs="Arial"/>
          <w:sz w:val="20"/>
          <w:szCs w:val="20"/>
          <w:lang w:val="de-DE"/>
        </w:rPr>
        <w:t>aft und die Dichte der stationä</w:t>
      </w:r>
      <w:r w:rsidRPr="00CD0FB1">
        <w:rPr>
          <w:rFonts w:ascii="Arial" w:hAnsi="Arial" w:cs="Arial"/>
          <w:sz w:val="20"/>
          <w:szCs w:val="20"/>
          <w:lang w:val="de-DE"/>
        </w:rPr>
        <w:t>ren Verkaufsfl</w:t>
      </w:r>
      <w:r w:rsidRPr="00CD0FB1">
        <w:rPr>
          <w:rFonts w:ascii="Arial" w:hAnsi="Arial" w:cs="Arial"/>
          <w:sz w:val="20"/>
          <w:szCs w:val="20"/>
          <w:lang w:val="de-DE"/>
        </w:rPr>
        <w:t>ä</w:t>
      </w:r>
      <w:r w:rsidRPr="00CD0FB1">
        <w:rPr>
          <w:rFonts w:ascii="Arial" w:hAnsi="Arial" w:cs="Arial"/>
          <w:sz w:val="20"/>
          <w:szCs w:val="20"/>
          <w:lang w:val="de-DE"/>
        </w:rPr>
        <w:t xml:space="preserve">che relevant. </w:t>
      </w:r>
    </w:p>
    <w:p w14:paraId="05CBF6D2" w14:textId="77777777" w:rsid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lastRenderedPageBreak/>
        <w:t>Großbritannien mit hoher Kaufkraft und geringer Verkaufsflächendichte hat mit 27 % den mit Abstand höchsten Onlineanteil in Europa und nimmt damit eine Sonderstellung ein. Mit einem Anteil von 16,2 % liegt Österreich im oberen Drittel und kann zumindest in Europa, na</w:t>
      </w:r>
      <w:r>
        <w:rPr>
          <w:rFonts w:ascii="Arial" w:hAnsi="Arial" w:cs="Arial"/>
          <w:sz w:val="20"/>
          <w:szCs w:val="20"/>
          <w:lang w:val="de-DE"/>
        </w:rPr>
        <w:t>ch Großbri</w:t>
      </w:r>
      <w:r w:rsidRPr="00CD0FB1">
        <w:rPr>
          <w:rFonts w:ascii="Arial" w:hAnsi="Arial" w:cs="Arial"/>
          <w:sz w:val="20"/>
          <w:szCs w:val="20"/>
          <w:lang w:val="de-DE"/>
        </w:rPr>
        <w:t>tannien, Deutschland und Dänemark, den vierten Platz belegen.</w:t>
      </w:r>
    </w:p>
    <w:p w14:paraId="4D24208E" w14:textId="77777777" w:rsidR="00C448DD" w:rsidRPr="00F16748" w:rsidRDefault="00C448DD" w:rsidP="006265BE">
      <w:pPr>
        <w:spacing w:line="360" w:lineRule="auto"/>
        <w:rPr>
          <w:rFonts w:ascii="Arial" w:hAnsi="Arial" w:cs="Arial"/>
          <w:sz w:val="20"/>
          <w:szCs w:val="20"/>
          <w:lang w:val="de-DE"/>
        </w:rPr>
      </w:pPr>
    </w:p>
    <w:p w14:paraId="40412D3D" w14:textId="77777777" w:rsidR="00CD0FB1" w:rsidRDefault="00CD0FB1" w:rsidP="000C1CE1">
      <w:pPr>
        <w:spacing w:line="360" w:lineRule="auto"/>
        <w:jc w:val="both"/>
        <w:rPr>
          <w:rFonts w:ascii="Arial" w:hAnsi="Arial" w:cs="Arial"/>
          <w:bCs/>
          <w:spacing w:val="10"/>
          <w:sz w:val="24"/>
          <w:szCs w:val="20"/>
          <w:lang w:val="de-DE"/>
        </w:rPr>
      </w:pPr>
      <w:r w:rsidRPr="00CD0FB1">
        <w:rPr>
          <w:rFonts w:ascii="Arial" w:hAnsi="Arial" w:cs="Arial"/>
          <w:bCs/>
          <w:spacing w:val="10"/>
          <w:sz w:val="24"/>
          <w:szCs w:val="20"/>
          <w:lang w:val="de-DE"/>
        </w:rPr>
        <w:t>Marktführer können Marktanteile nicht ausbauen</w:t>
      </w:r>
    </w:p>
    <w:p w14:paraId="50202362" w14:textId="77777777"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Allrounder wie Amazon, Zalando sowie die Otto-Group haben zwar insgesamt Umsätze dazugewo</w:t>
      </w:r>
      <w:r w:rsidRPr="00CD0FB1">
        <w:rPr>
          <w:rFonts w:ascii="Arial" w:hAnsi="Arial" w:cs="Arial"/>
          <w:sz w:val="20"/>
          <w:szCs w:val="20"/>
          <w:lang w:val="de-DE"/>
        </w:rPr>
        <w:t>n</w:t>
      </w:r>
      <w:r w:rsidRPr="00CD0FB1">
        <w:rPr>
          <w:rFonts w:ascii="Arial" w:hAnsi="Arial" w:cs="Arial"/>
          <w:sz w:val="20"/>
          <w:szCs w:val="20"/>
          <w:lang w:val="de-DE"/>
        </w:rPr>
        <w:t>nen, parallel dazu stagnieren ihre Marktanteile jedoch in den einzelnen Segmenten. Hinzu kommt, dass eine große Zahl an Spezialisten derzeit an Bedeutung gewinnt und an den Umsätzen der Al</w:t>
      </w:r>
      <w:r w:rsidRPr="00CD0FB1">
        <w:rPr>
          <w:rFonts w:ascii="Arial" w:hAnsi="Arial" w:cs="Arial"/>
          <w:sz w:val="20"/>
          <w:szCs w:val="20"/>
          <w:lang w:val="de-DE"/>
        </w:rPr>
        <w:t>l</w:t>
      </w:r>
      <w:r w:rsidRPr="00CD0FB1">
        <w:rPr>
          <w:rFonts w:ascii="Arial" w:hAnsi="Arial" w:cs="Arial"/>
          <w:sz w:val="20"/>
          <w:szCs w:val="20"/>
          <w:lang w:val="de-DE"/>
        </w:rPr>
        <w:t>rounder knabbert.</w:t>
      </w:r>
    </w:p>
    <w:p w14:paraId="2FDE78A4" w14:textId="098A0DDD" w:rsidR="00F10987"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 xml:space="preserve">Dennoch, der Onlinemarkt ist zu einem Großteil von Konzentrationstendenzen geprägt. Die großen Fische im Onlinehandel sind entweder Pure Player wie Amazon, Zalando, Shop Apotheke etc. oder sehr, sehr starke (stationäre) Marken wie IKEA, </w:t>
      </w:r>
      <w:proofErr w:type="spellStart"/>
      <w:r w:rsidRPr="00CD0FB1">
        <w:rPr>
          <w:rFonts w:ascii="Arial" w:hAnsi="Arial" w:cs="Arial"/>
          <w:sz w:val="20"/>
          <w:szCs w:val="20"/>
          <w:lang w:val="de-DE"/>
        </w:rPr>
        <w:t>MediaMarkt</w:t>
      </w:r>
      <w:proofErr w:type="spellEnd"/>
      <w:r w:rsidRPr="00CD0FB1">
        <w:rPr>
          <w:rFonts w:ascii="Arial" w:hAnsi="Arial" w:cs="Arial"/>
          <w:sz w:val="20"/>
          <w:szCs w:val="20"/>
          <w:lang w:val="de-DE"/>
        </w:rPr>
        <w:t>, H&amp;M und Apple. Für österreichische Konsumenten schaffen es folgende Onlineshops in die Top 10:</w:t>
      </w:r>
    </w:p>
    <w:p w14:paraId="48D6DB41" w14:textId="77777777" w:rsidR="00F10987" w:rsidRDefault="00F10987" w:rsidP="00CD0FB1">
      <w:pPr>
        <w:spacing w:line="360" w:lineRule="auto"/>
        <w:jc w:val="both"/>
        <w:rPr>
          <w:rFonts w:ascii="Arial" w:hAnsi="Arial" w:cs="Arial"/>
          <w:sz w:val="20"/>
          <w:szCs w:val="20"/>
          <w:lang w:val="de-DE"/>
        </w:rPr>
      </w:pPr>
    </w:p>
    <w:p w14:paraId="4AD1BD5C" w14:textId="14B1FE86" w:rsidR="00CD0FB1" w:rsidRDefault="00F10987" w:rsidP="00CD0FB1">
      <w:pPr>
        <w:spacing w:line="360" w:lineRule="auto"/>
        <w:rPr>
          <w:rFonts w:ascii="Arial" w:hAnsi="Arial" w:cs="Arial"/>
          <w:sz w:val="20"/>
          <w:szCs w:val="20"/>
          <w:lang w:val="de-DE"/>
        </w:rPr>
      </w:pPr>
      <w:r w:rsidRPr="00F10987">
        <w:rPr>
          <w:rFonts w:ascii="Arial" w:hAnsi="Arial" w:cs="Arial"/>
          <w:noProof/>
          <w:sz w:val="20"/>
          <w:szCs w:val="20"/>
          <w:lang w:eastAsia="de-AT"/>
        </w:rPr>
        <w:drawing>
          <wp:inline distT="0" distB="0" distL="0" distR="0" wp14:anchorId="0B7E16A0" wp14:editId="2A623523">
            <wp:extent cx="5759450" cy="3156492"/>
            <wp:effectExtent l="19050" t="19050" r="12700" b="2540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3156492"/>
                    </a:xfrm>
                    <a:prstGeom prst="rect">
                      <a:avLst/>
                    </a:prstGeom>
                    <a:ln>
                      <a:solidFill>
                        <a:schemeClr val="bg1">
                          <a:lumMod val="85000"/>
                        </a:schemeClr>
                      </a:solidFill>
                    </a:ln>
                  </pic:spPr>
                </pic:pic>
              </a:graphicData>
            </a:graphic>
          </wp:inline>
        </w:drawing>
      </w:r>
    </w:p>
    <w:p w14:paraId="1042915C" w14:textId="77777777" w:rsidR="00F10987" w:rsidRPr="00F16748" w:rsidRDefault="00F10987" w:rsidP="00CD0FB1">
      <w:pPr>
        <w:spacing w:line="360" w:lineRule="auto"/>
        <w:rPr>
          <w:rFonts w:ascii="Arial" w:hAnsi="Arial" w:cs="Arial"/>
          <w:sz w:val="20"/>
          <w:szCs w:val="20"/>
          <w:lang w:val="de-DE"/>
        </w:rPr>
      </w:pPr>
    </w:p>
    <w:p w14:paraId="3EBDCBBD" w14:textId="77777777" w:rsidR="00CD0FB1" w:rsidRDefault="00CD0FB1" w:rsidP="000C1CE1">
      <w:pPr>
        <w:spacing w:line="360" w:lineRule="auto"/>
        <w:jc w:val="both"/>
        <w:rPr>
          <w:rFonts w:ascii="Arial" w:hAnsi="Arial" w:cs="Arial"/>
          <w:bCs/>
          <w:spacing w:val="10"/>
          <w:sz w:val="24"/>
          <w:szCs w:val="20"/>
          <w:lang w:val="de-DE"/>
        </w:rPr>
      </w:pPr>
      <w:r w:rsidRPr="00CD0FB1">
        <w:rPr>
          <w:rFonts w:ascii="Arial" w:hAnsi="Arial" w:cs="Arial"/>
          <w:bCs/>
          <w:spacing w:val="10"/>
          <w:sz w:val="24"/>
          <w:szCs w:val="20"/>
          <w:lang w:val="de-DE"/>
        </w:rPr>
        <w:t>Möbel- und Schuhhandel sowie Baumärkte holen stark auf</w:t>
      </w:r>
    </w:p>
    <w:p w14:paraId="4EFB7622" w14:textId="77777777"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 xml:space="preserve">Der Onlinehandel in Österreich konnte seinen Wachstumskurs in den meisten Branchen auch im Jahr 2021 fleißig fortsetzen. Den höchsten Sprung in puncto Onlineanteil konnten die Baumärkte mit einer Steigerung von 1,6 Prozentpunkten zum Vorjahr auf aktuell 14,5 % hinlegen. Auch der Möbel- sowie </w:t>
      </w:r>
      <w:r w:rsidRPr="00CD0FB1">
        <w:rPr>
          <w:rFonts w:ascii="Arial" w:hAnsi="Arial" w:cs="Arial"/>
          <w:sz w:val="20"/>
          <w:szCs w:val="20"/>
          <w:lang w:val="de-DE"/>
        </w:rPr>
        <w:lastRenderedPageBreak/>
        <w:t>Schuhmarkt konnten jeweils um über 1 Prozentpunkt zulegen. Elektronik und Bekleidung bleiben we</w:t>
      </w:r>
      <w:r w:rsidRPr="00CD0FB1">
        <w:rPr>
          <w:rFonts w:ascii="Arial" w:hAnsi="Arial" w:cs="Arial"/>
          <w:sz w:val="20"/>
          <w:szCs w:val="20"/>
          <w:lang w:val="de-DE"/>
        </w:rPr>
        <w:t>i</w:t>
      </w:r>
      <w:r w:rsidRPr="00CD0FB1">
        <w:rPr>
          <w:rFonts w:ascii="Arial" w:hAnsi="Arial" w:cs="Arial"/>
          <w:sz w:val="20"/>
          <w:szCs w:val="20"/>
          <w:lang w:val="de-DE"/>
        </w:rPr>
        <w:t xml:space="preserve">terhin auf hohem Niveau. </w:t>
      </w:r>
    </w:p>
    <w:p w14:paraId="4F96C803" w14:textId="77777777" w:rsid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Doch gibt es auch Rückgänge bei den Onlineanteilen: Leicht reduzierte Onlineanteile sind im Buc</w:t>
      </w:r>
      <w:r w:rsidRPr="00CD0FB1">
        <w:rPr>
          <w:rFonts w:ascii="Arial" w:hAnsi="Arial" w:cs="Arial"/>
          <w:sz w:val="20"/>
          <w:szCs w:val="20"/>
          <w:lang w:val="de-DE"/>
        </w:rPr>
        <w:t>h</w:t>
      </w:r>
      <w:r w:rsidRPr="00CD0FB1">
        <w:rPr>
          <w:rFonts w:ascii="Arial" w:hAnsi="Arial" w:cs="Arial"/>
          <w:sz w:val="20"/>
          <w:szCs w:val="20"/>
          <w:lang w:val="de-DE"/>
        </w:rPr>
        <w:t>handel, aber auch in der Spiele-, Freizeit- sowie Sportbranche beobachtbar. Beim Lebensmittelhandel ist mit einem Onlineanteil von 2,8 % zwar eine stärkere Dynamik zum Vorjahr zu erkennen, doch b</w:t>
      </w:r>
      <w:r w:rsidRPr="00CD0FB1">
        <w:rPr>
          <w:rFonts w:ascii="Arial" w:hAnsi="Arial" w:cs="Arial"/>
          <w:sz w:val="20"/>
          <w:szCs w:val="20"/>
          <w:lang w:val="de-DE"/>
        </w:rPr>
        <w:t>e</w:t>
      </w:r>
      <w:r w:rsidRPr="00CD0FB1">
        <w:rPr>
          <w:rFonts w:ascii="Arial" w:hAnsi="Arial" w:cs="Arial"/>
          <w:sz w:val="20"/>
          <w:szCs w:val="20"/>
          <w:lang w:val="de-DE"/>
        </w:rPr>
        <w:t xml:space="preserve">legt er trotzdem den letzten Platz im Branchenvergleich. </w:t>
      </w:r>
    </w:p>
    <w:p w14:paraId="650CB8D6" w14:textId="66840795" w:rsidR="00BF3551" w:rsidRPr="00F16748" w:rsidRDefault="00A24011" w:rsidP="00CD0FB1">
      <w:pPr>
        <w:spacing w:line="360" w:lineRule="auto"/>
        <w:rPr>
          <w:rFonts w:ascii="Arial" w:hAnsi="Arial" w:cs="Arial"/>
          <w:sz w:val="20"/>
          <w:szCs w:val="20"/>
          <w:lang w:val="de-DE"/>
        </w:rPr>
      </w:pPr>
      <w:r w:rsidRPr="00F16748">
        <w:rPr>
          <w:rFonts w:ascii="Arial" w:hAnsi="Arial" w:cs="Arial"/>
          <w:sz w:val="20"/>
          <w:szCs w:val="20"/>
          <w:lang w:val="de-DE"/>
        </w:rPr>
        <w:t xml:space="preserve"> </w:t>
      </w:r>
    </w:p>
    <w:p w14:paraId="4DB01CB8" w14:textId="77777777" w:rsidR="00CD0FB1" w:rsidRDefault="00CD0FB1" w:rsidP="000C1CE1">
      <w:pPr>
        <w:spacing w:line="360" w:lineRule="auto"/>
        <w:jc w:val="both"/>
        <w:rPr>
          <w:rFonts w:ascii="Arial" w:hAnsi="Arial" w:cs="Arial"/>
          <w:bCs/>
          <w:spacing w:val="10"/>
          <w:sz w:val="24"/>
          <w:szCs w:val="20"/>
          <w:lang w:val="de-DE"/>
        </w:rPr>
      </w:pPr>
      <w:r w:rsidRPr="00CD0FB1">
        <w:rPr>
          <w:rFonts w:ascii="Arial" w:hAnsi="Arial" w:cs="Arial"/>
          <w:bCs/>
          <w:spacing w:val="10"/>
          <w:sz w:val="24"/>
          <w:szCs w:val="20"/>
          <w:lang w:val="de-DE"/>
        </w:rPr>
        <w:t>Corona prägt den Onlinehandel nachhaltig</w:t>
      </w:r>
    </w:p>
    <w:p w14:paraId="43DB6BCE" w14:textId="77777777"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Neben vielen Randerscheinungen, welche die Pandemie mit sich gebracht hat, sind die langfristigen Veränderungen im E-Business besonders spürbar. Wesentliche Folgen im Onlinehandel sind stark erhöhte Umsätze, vor allem im Lebensmittelbereich sowie viele neue Erstkäufer.</w:t>
      </w:r>
    </w:p>
    <w:p w14:paraId="53C39C52" w14:textId="77777777"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 xml:space="preserve">Mit adaptierten Hybrid-Konzepten wie </w:t>
      </w:r>
      <w:proofErr w:type="spellStart"/>
      <w:r w:rsidRPr="00CD0FB1">
        <w:rPr>
          <w:rFonts w:ascii="Arial" w:hAnsi="Arial" w:cs="Arial"/>
          <w:sz w:val="20"/>
          <w:szCs w:val="20"/>
          <w:lang w:val="de-DE"/>
        </w:rPr>
        <w:t>Click&amp;Collect</w:t>
      </w:r>
      <w:proofErr w:type="spellEnd"/>
      <w:r w:rsidRPr="00CD0FB1">
        <w:rPr>
          <w:rFonts w:ascii="Arial" w:hAnsi="Arial" w:cs="Arial"/>
          <w:sz w:val="20"/>
          <w:szCs w:val="20"/>
          <w:lang w:val="de-DE"/>
        </w:rPr>
        <w:t xml:space="preserve"> konnten vor allem </w:t>
      </w:r>
      <w:proofErr w:type="spellStart"/>
      <w:r w:rsidRPr="00CD0FB1">
        <w:rPr>
          <w:rFonts w:ascii="Arial" w:hAnsi="Arial" w:cs="Arial"/>
          <w:sz w:val="20"/>
          <w:szCs w:val="20"/>
          <w:lang w:val="de-DE"/>
        </w:rPr>
        <w:t>Billa</w:t>
      </w:r>
      <w:proofErr w:type="spellEnd"/>
      <w:r w:rsidRPr="00CD0FB1">
        <w:rPr>
          <w:rFonts w:ascii="Arial" w:hAnsi="Arial" w:cs="Arial"/>
          <w:sz w:val="20"/>
          <w:szCs w:val="20"/>
          <w:lang w:val="de-DE"/>
        </w:rPr>
        <w:t xml:space="preserve"> und IKEA die Online-Nischen im Lebensmittel- sowie Möbelhandel füllen und damit ihre Marktposition wesentlich unte</w:t>
      </w:r>
      <w:r w:rsidRPr="00CD0FB1">
        <w:rPr>
          <w:rFonts w:ascii="Arial" w:hAnsi="Arial" w:cs="Arial"/>
          <w:sz w:val="20"/>
          <w:szCs w:val="20"/>
          <w:lang w:val="de-DE"/>
        </w:rPr>
        <w:t>r</w:t>
      </w:r>
      <w:r w:rsidRPr="00CD0FB1">
        <w:rPr>
          <w:rFonts w:ascii="Arial" w:hAnsi="Arial" w:cs="Arial"/>
          <w:sz w:val="20"/>
          <w:szCs w:val="20"/>
          <w:lang w:val="de-DE"/>
        </w:rPr>
        <w:t xml:space="preserve">streichen. Zu erkennen ist auch eine progressive Verlagerung von Monolabel-Shops zu </w:t>
      </w:r>
      <w:proofErr w:type="spellStart"/>
      <w:r w:rsidRPr="00CD0FB1">
        <w:rPr>
          <w:rFonts w:ascii="Arial" w:hAnsi="Arial" w:cs="Arial"/>
          <w:sz w:val="20"/>
          <w:szCs w:val="20"/>
          <w:lang w:val="de-DE"/>
        </w:rPr>
        <w:t>Marketplaces</w:t>
      </w:r>
      <w:proofErr w:type="spellEnd"/>
      <w:r w:rsidRPr="00CD0FB1">
        <w:rPr>
          <w:rFonts w:ascii="Arial" w:hAnsi="Arial" w:cs="Arial"/>
          <w:sz w:val="20"/>
          <w:szCs w:val="20"/>
          <w:lang w:val="de-DE"/>
        </w:rPr>
        <w:t xml:space="preserve">. Außerdem haben neue Online-Pure-Player wie </w:t>
      </w:r>
      <w:proofErr w:type="spellStart"/>
      <w:r w:rsidRPr="00CD0FB1">
        <w:rPr>
          <w:rFonts w:ascii="Arial" w:hAnsi="Arial" w:cs="Arial"/>
          <w:sz w:val="20"/>
          <w:szCs w:val="20"/>
          <w:lang w:val="de-DE"/>
        </w:rPr>
        <w:t>Ringana</w:t>
      </w:r>
      <w:proofErr w:type="spellEnd"/>
      <w:r w:rsidRPr="00CD0FB1">
        <w:rPr>
          <w:rFonts w:ascii="Arial" w:hAnsi="Arial" w:cs="Arial"/>
          <w:sz w:val="20"/>
          <w:szCs w:val="20"/>
          <w:lang w:val="de-DE"/>
        </w:rPr>
        <w:t xml:space="preserve"> oder </w:t>
      </w:r>
      <w:proofErr w:type="spellStart"/>
      <w:r w:rsidRPr="00CD0FB1">
        <w:rPr>
          <w:rFonts w:ascii="Arial" w:hAnsi="Arial" w:cs="Arial"/>
          <w:sz w:val="20"/>
          <w:szCs w:val="20"/>
          <w:lang w:val="de-DE"/>
        </w:rPr>
        <w:t>Gurkerl</w:t>
      </w:r>
      <w:proofErr w:type="spellEnd"/>
      <w:r w:rsidRPr="00CD0FB1">
        <w:rPr>
          <w:rFonts w:ascii="Arial" w:hAnsi="Arial" w:cs="Arial"/>
          <w:sz w:val="20"/>
          <w:szCs w:val="20"/>
          <w:lang w:val="de-DE"/>
        </w:rPr>
        <w:t xml:space="preserve"> den Sprung ins Internet gewagt und stauben aktuell schon beträchtliche Umsatzsummen ab. </w:t>
      </w:r>
    </w:p>
    <w:p w14:paraId="1250D181" w14:textId="1A2CA05E" w:rsidR="00CD0FB1" w:rsidRPr="00CD0FB1"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 xml:space="preserve">Auch der Global Player „Münze Österreich“, welcher zur Welt-Elite der Münzprägestätten gehört, konnte sich nun als Multi-Channel-Händler in den </w:t>
      </w:r>
      <w:r>
        <w:rPr>
          <w:rFonts w:ascii="Arial" w:hAnsi="Arial" w:cs="Arial"/>
          <w:sz w:val="20"/>
          <w:szCs w:val="20"/>
          <w:lang w:val="de-DE"/>
        </w:rPr>
        <w:t>Top 10 der Onlineanbieter Öster</w:t>
      </w:r>
      <w:r w:rsidRPr="00CD0FB1">
        <w:rPr>
          <w:rFonts w:ascii="Arial" w:hAnsi="Arial" w:cs="Arial"/>
          <w:sz w:val="20"/>
          <w:szCs w:val="20"/>
          <w:lang w:val="de-DE"/>
        </w:rPr>
        <w:t xml:space="preserve">reichs platzieren. Das Unternehmen bietet mittlerweile eine Onlineplattform fürs Anlegen, Sammeln und Schenken von Anlagemünzen sowie Goldbarren und bewegt sich damit genau am Puls der Zeit. </w:t>
      </w:r>
    </w:p>
    <w:p w14:paraId="36046441" w14:textId="418201ED" w:rsidR="00A756F2" w:rsidRDefault="00CD0FB1" w:rsidP="00CD0FB1">
      <w:pPr>
        <w:spacing w:line="360" w:lineRule="auto"/>
        <w:jc w:val="both"/>
        <w:rPr>
          <w:rFonts w:ascii="Arial" w:hAnsi="Arial" w:cs="Arial"/>
          <w:sz w:val="20"/>
          <w:szCs w:val="20"/>
          <w:lang w:val="de-DE"/>
        </w:rPr>
      </w:pPr>
      <w:r w:rsidRPr="00CD0FB1">
        <w:rPr>
          <w:rFonts w:ascii="Arial" w:hAnsi="Arial" w:cs="Arial"/>
          <w:sz w:val="20"/>
          <w:szCs w:val="20"/>
          <w:lang w:val="de-DE"/>
        </w:rPr>
        <w:t>Weiterhin sehr spannend bleibt die Gestaltung der nächsten Generation im Onlinehandel. Ansätze zum Thema Live Shopping, VR-Shopping oder gar Personal Shopping gibt es bereits zahlreich – und der Kreativität sind hier wohl keine Grenzen gesetzt!</w:t>
      </w:r>
    </w:p>
    <w:p w14:paraId="3390C68D" w14:textId="77777777" w:rsidR="00CD0FB1" w:rsidRPr="00F16748" w:rsidRDefault="00CD0FB1" w:rsidP="00CD0FB1">
      <w:pPr>
        <w:spacing w:line="360" w:lineRule="auto"/>
        <w:rPr>
          <w:rFonts w:ascii="Arial" w:hAnsi="Arial" w:cs="Arial"/>
          <w:sz w:val="20"/>
          <w:szCs w:val="20"/>
          <w:highlight w:val="yellow"/>
          <w:lang w:val="de-DE"/>
        </w:rPr>
      </w:pPr>
    </w:p>
    <w:p w14:paraId="0F4291F9" w14:textId="77777777" w:rsidR="00807249" w:rsidRPr="00F16748" w:rsidRDefault="00807249" w:rsidP="000C1CE1">
      <w:pPr>
        <w:jc w:val="center"/>
        <w:rPr>
          <w:rFonts w:ascii="Arial" w:hAnsi="Arial" w:cs="Arial"/>
          <w:i/>
          <w:sz w:val="20"/>
          <w:szCs w:val="20"/>
          <w:lang w:val="de-DE"/>
        </w:rPr>
      </w:pPr>
    </w:p>
    <w:p w14:paraId="07E6BFB3" w14:textId="77777777" w:rsidR="00807249" w:rsidRPr="00F16748" w:rsidRDefault="00807249" w:rsidP="000C1CE1">
      <w:pPr>
        <w:jc w:val="center"/>
        <w:rPr>
          <w:rFonts w:ascii="Arial" w:hAnsi="Arial" w:cs="Arial"/>
          <w:i/>
          <w:sz w:val="20"/>
          <w:szCs w:val="20"/>
          <w:lang w:val="de-DE"/>
        </w:rPr>
      </w:pPr>
    </w:p>
    <w:p w14:paraId="1FC85B75" w14:textId="18FD462D" w:rsidR="005B4452" w:rsidRPr="00F16748" w:rsidRDefault="00E60128" w:rsidP="000C1CE1">
      <w:pPr>
        <w:jc w:val="center"/>
        <w:rPr>
          <w:rFonts w:ascii="Arial" w:hAnsi="Arial" w:cs="Arial"/>
          <w:i/>
          <w:sz w:val="20"/>
          <w:szCs w:val="20"/>
        </w:rPr>
      </w:pPr>
      <w:r w:rsidRPr="00F16748">
        <w:rPr>
          <w:rFonts w:ascii="Arial" w:hAnsi="Arial" w:cs="Arial"/>
          <w:i/>
          <w:sz w:val="20"/>
          <w:szCs w:val="20"/>
          <w:lang w:val="de-DE"/>
        </w:rPr>
        <w:t xml:space="preserve">Aktuelle </w:t>
      </w:r>
      <w:r w:rsidR="00F43546" w:rsidRPr="00F16748">
        <w:rPr>
          <w:rFonts w:ascii="Arial" w:hAnsi="Arial" w:cs="Arial"/>
          <w:i/>
          <w:sz w:val="20"/>
          <w:szCs w:val="20"/>
          <w:lang w:val="de-DE"/>
        </w:rPr>
        <w:t>Analyse</w:t>
      </w:r>
      <w:r w:rsidR="00D60A03" w:rsidRPr="00F16748">
        <w:rPr>
          <w:rFonts w:ascii="Arial" w:hAnsi="Arial" w:cs="Arial"/>
          <w:i/>
          <w:sz w:val="20"/>
          <w:szCs w:val="20"/>
          <w:lang w:val="de-DE"/>
        </w:rPr>
        <w:t xml:space="preserve">: </w:t>
      </w:r>
      <w:r w:rsidR="00D60A03" w:rsidRPr="00F16748">
        <w:rPr>
          <w:rFonts w:ascii="Arial" w:hAnsi="Arial" w:cs="Arial"/>
          <w:b/>
          <w:i/>
          <w:sz w:val="20"/>
          <w:szCs w:val="20"/>
          <w:lang w:val="de-DE"/>
        </w:rPr>
        <w:t>„RegioData Onlin</w:t>
      </w:r>
      <w:r w:rsidR="00CD0FB1">
        <w:rPr>
          <w:rFonts w:ascii="Arial" w:hAnsi="Arial" w:cs="Arial"/>
          <w:b/>
          <w:i/>
          <w:sz w:val="20"/>
          <w:szCs w:val="20"/>
          <w:lang w:val="de-DE"/>
        </w:rPr>
        <w:t>ehandel Österreich – Ausgabe 2022</w:t>
      </w:r>
      <w:r w:rsidR="00D60A03" w:rsidRPr="00F16748">
        <w:rPr>
          <w:rFonts w:ascii="Arial" w:hAnsi="Arial" w:cs="Arial"/>
          <w:b/>
          <w:i/>
          <w:sz w:val="20"/>
          <w:szCs w:val="20"/>
          <w:lang w:val="de-DE"/>
        </w:rPr>
        <w:t>“.</w:t>
      </w:r>
    </w:p>
    <w:p w14:paraId="210FEA07" w14:textId="5160A2AE" w:rsidR="00D60A03" w:rsidRPr="00F16748" w:rsidRDefault="00F71DFE" w:rsidP="000C1CE1">
      <w:pPr>
        <w:jc w:val="center"/>
        <w:rPr>
          <w:rFonts w:ascii="Arial" w:hAnsi="Arial" w:cs="Arial"/>
          <w:i/>
          <w:sz w:val="20"/>
          <w:szCs w:val="20"/>
        </w:rPr>
      </w:pPr>
      <w:r w:rsidRPr="00F16748">
        <w:rPr>
          <w:rFonts w:ascii="Arial" w:hAnsi="Arial" w:cs="Arial"/>
          <w:i/>
          <w:sz w:val="20"/>
          <w:szCs w:val="20"/>
        </w:rPr>
        <w:t xml:space="preserve">Die </w:t>
      </w:r>
      <w:r w:rsidR="00807249" w:rsidRPr="00F16748">
        <w:rPr>
          <w:rFonts w:ascii="Arial" w:hAnsi="Arial" w:cs="Arial"/>
          <w:b/>
          <w:bCs/>
          <w:i/>
          <w:sz w:val="20"/>
          <w:szCs w:val="20"/>
        </w:rPr>
        <w:t xml:space="preserve">RegioData Research </w:t>
      </w:r>
      <w:r w:rsidRPr="00F16748">
        <w:rPr>
          <w:rFonts w:ascii="Arial" w:hAnsi="Arial" w:cs="Arial"/>
          <w:b/>
          <w:bCs/>
          <w:i/>
          <w:sz w:val="20"/>
          <w:szCs w:val="20"/>
        </w:rPr>
        <w:t>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w:t>
                    </w:r>
                    <w:r w:rsidRPr="00BB17FA">
                      <w:rPr>
                        <w:rFonts w:ascii="Arial" w:hAnsi="Arial" w:cs="Arial"/>
                        <w:color w:val="525556"/>
                        <w:spacing w:val="60"/>
                        <w:sz w:val="24"/>
                      </w:rPr>
                      <w:t>I</w:t>
                    </w:r>
                    <w:r w:rsidRPr="00BB17FA">
                      <w:rPr>
                        <w:rFonts w:ascii="Arial" w:hAnsi="Arial" w:cs="Arial"/>
                        <w:color w:val="525556"/>
                        <w:spacing w:val="60"/>
                        <w:sz w:val="24"/>
                      </w:rPr>
                      <w:t>LUNG</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18D5"/>
    <w:rsid w:val="0067725A"/>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41437"/>
    <w:rsid w:val="00A43B9C"/>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37AD"/>
    <w:rsid w:val="00B02510"/>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7E49"/>
    <w:rsid w:val="00BF3551"/>
    <w:rsid w:val="00BF4353"/>
    <w:rsid w:val="00BF61DF"/>
    <w:rsid w:val="00C07602"/>
    <w:rsid w:val="00C13CA3"/>
    <w:rsid w:val="00C215B1"/>
    <w:rsid w:val="00C2548F"/>
    <w:rsid w:val="00C37983"/>
    <w:rsid w:val="00C41CB6"/>
    <w:rsid w:val="00C448DD"/>
    <w:rsid w:val="00C8390A"/>
    <w:rsid w:val="00C84408"/>
    <w:rsid w:val="00C84D0A"/>
    <w:rsid w:val="00C94E9E"/>
    <w:rsid w:val="00CB0505"/>
    <w:rsid w:val="00CB228A"/>
    <w:rsid w:val="00CC1EAE"/>
    <w:rsid w:val="00CC2B11"/>
    <w:rsid w:val="00CC7E7E"/>
    <w:rsid w:val="00CD0FB1"/>
    <w:rsid w:val="00CD1F89"/>
    <w:rsid w:val="00CD7C31"/>
    <w:rsid w:val="00CF07E6"/>
    <w:rsid w:val="00CF2968"/>
    <w:rsid w:val="00CF4765"/>
    <w:rsid w:val="00CF58AF"/>
    <w:rsid w:val="00CF7DC4"/>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0987"/>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D464-8305-406A-8C32-2BC8993A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3</cp:revision>
  <cp:lastPrinted>2022-06-29T12:43:00Z</cp:lastPrinted>
  <dcterms:created xsi:type="dcterms:W3CDTF">2022-08-08T07:57:00Z</dcterms:created>
  <dcterms:modified xsi:type="dcterms:W3CDTF">2022-08-08T11:25:00Z</dcterms:modified>
</cp:coreProperties>
</file>