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50" w:rsidRDefault="00F12E50" w:rsidP="00F12E50">
      <w:pPr>
        <w:rPr>
          <w:b/>
          <w:sz w:val="24"/>
          <w:szCs w:val="24"/>
        </w:rPr>
      </w:pPr>
    </w:p>
    <w:p w:rsidR="00F12E50" w:rsidRPr="006B0B6D" w:rsidRDefault="00F12E50" w:rsidP="00F12E50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>
        <w:rPr>
          <w:rFonts w:ascii="Arial" w:hAnsi="Arial" w:cs="Arial"/>
          <w:b/>
          <w:color w:val="525556"/>
          <w:sz w:val="20"/>
          <w:lang w:val="de-DE"/>
        </w:rPr>
        <w:t>03. März</w:t>
      </w:r>
      <w:r w:rsidRPr="002F746F">
        <w:rPr>
          <w:rFonts w:ascii="Arial" w:hAnsi="Arial" w:cs="Arial"/>
          <w:b/>
          <w:color w:val="525556"/>
          <w:sz w:val="20"/>
          <w:lang w:val="de-DE"/>
        </w:rPr>
        <w:t xml:space="preserve"> 2022</w:t>
      </w:r>
    </w:p>
    <w:p w:rsidR="00F12E50" w:rsidRPr="006B0B6D" w:rsidRDefault="00F12E50" w:rsidP="00F12E50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F12E50" w:rsidRDefault="00F12E50" w:rsidP="00F12E50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Pr="006B0B6D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  <w:b/>
          <w:color w:val="525556"/>
          <w:sz w:val="20"/>
          <w:lang w:val="de-DE"/>
        </w:rPr>
        <w:t>MARKTVOLUMEN DES ONLINEHANDELS IN EUROPA – STATUS QUO</w:t>
      </w:r>
    </w:p>
    <w:p w:rsidR="00F12E50" w:rsidRDefault="00F12E50" w:rsidP="00F12E50">
      <w:pPr>
        <w:rPr>
          <w:b/>
          <w:sz w:val="24"/>
          <w:szCs w:val="24"/>
        </w:rPr>
      </w:pPr>
    </w:p>
    <w:p w:rsidR="00F12E50" w:rsidRDefault="00F12E50" w:rsidP="00F12E50">
      <w:r w:rsidRPr="00F12E50">
        <w:drawing>
          <wp:inline distT="0" distB="0" distL="0" distR="0" wp14:anchorId="5C256D37" wp14:editId="2585F637">
            <wp:extent cx="5760720" cy="3155351"/>
            <wp:effectExtent l="19050" t="19050" r="11430" b="260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35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Das europäische Marktvolumen im B2C-Onlinehandel beträgt aktuell circa 530 Mrd. € pro Jahr. G</w:t>
      </w:r>
      <w:r w:rsidRPr="00F12E50">
        <w:rPr>
          <w:rFonts w:ascii="Arial" w:hAnsi="Arial" w:cs="Arial"/>
          <w:sz w:val="20"/>
          <w:szCs w:val="20"/>
        </w:rPr>
        <w:t>e</w:t>
      </w:r>
      <w:r w:rsidRPr="00F12E50">
        <w:rPr>
          <w:rFonts w:ascii="Arial" w:hAnsi="Arial" w:cs="Arial"/>
          <w:sz w:val="20"/>
          <w:szCs w:val="20"/>
        </w:rPr>
        <w:t>genüber dem Vorjahr bedeutet dies eine Steigerung von durchschnittlich 4 %, wobei die Steigerungen in den westlichen sowie nördlichen Ländern deutlich höher sind. Hingegen sind in einigen CEE-Ländern nur sehr gering</w:t>
      </w:r>
      <w:r>
        <w:rPr>
          <w:rFonts w:ascii="Arial" w:hAnsi="Arial" w:cs="Arial"/>
          <w:sz w:val="20"/>
          <w:szCs w:val="20"/>
        </w:rPr>
        <w:t>e Zuwachsraten zu verzeichnen.</w:t>
      </w:r>
    </w:p>
    <w:p w:rsidR="00F12E50" w:rsidRPr="00F12E50" w:rsidRDefault="00F12E50" w:rsidP="00F12E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Die Größe der jeweiligen nationalen Märkte wird im Wesentlichen von der Onlineaffinität und der B</w:t>
      </w:r>
      <w:r w:rsidRPr="00F12E50">
        <w:rPr>
          <w:rFonts w:ascii="Arial" w:hAnsi="Arial" w:cs="Arial"/>
          <w:sz w:val="20"/>
          <w:szCs w:val="20"/>
        </w:rPr>
        <w:t>e</w:t>
      </w:r>
      <w:r w:rsidRPr="00F12E50">
        <w:rPr>
          <w:rFonts w:ascii="Arial" w:hAnsi="Arial" w:cs="Arial"/>
          <w:sz w:val="20"/>
          <w:szCs w:val="20"/>
        </w:rPr>
        <w:t>völkerungszahl bestimmt. Lücken oder Schwächen in der Logistikinfrastruktur oder im Angebot spielen nur in östlichen Ländern eine etwas größere Rolle.</w:t>
      </w:r>
    </w:p>
    <w:p w:rsidR="00F12E50" w:rsidRPr="00F12E50" w:rsidRDefault="00F12E50" w:rsidP="00F12E5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In Europa stechen besonders zwei große Onlinemärkte hervor. Einmal Großbritannien mit einem trad</w:t>
      </w:r>
      <w:r w:rsidRPr="00F12E50">
        <w:rPr>
          <w:rFonts w:ascii="Arial" w:hAnsi="Arial" w:cs="Arial"/>
          <w:sz w:val="20"/>
          <w:szCs w:val="20"/>
        </w:rPr>
        <w:t>i</w:t>
      </w:r>
      <w:r w:rsidRPr="00F12E50">
        <w:rPr>
          <w:rFonts w:ascii="Arial" w:hAnsi="Arial" w:cs="Arial"/>
          <w:sz w:val="20"/>
          <w:szCs w:val="20"/>
        </w:rPr>
        <w:t>tionell sehr hohen Onlineanteil, insbesondere im Lebensmittelbereich, und einmal Deutschland mit Onlineausgaben von mehr als 100 Mrd. €  pro Jahr. Beide Länder zusammen decken somit 45 % des gesamten europäischen Marktes ab.</w:t>
      </w:r>
    </w:p>
    <w:p w:rsidR="00D8733A" w:rsidRDefault="00D8733A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733A" w:rsidRDefault="00D8733A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733A" w:rsidRDefault="00D8733A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 xml:space="preserve">Der nächstgrößere Markt ist Frankreich mit einem Online-Marktvolumen von „nur“ 75 Mrd. € pro Jahr. Die restlichen großen europäischen Volkswirtschaften wie etwa Italien und Spanien sind im Hinblick auf ihren Onlinekonsum noch deutliche Nachzügler. </w:t>
      </w:r>
    </w:p>
    <w:p w:rsid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Im unteren Mittelfeld platziert sich der restliche Teil Zentraleuropas mit grundsätzlich kaufkraftstarken Ländern wie Österreich, der Schweiz und Belgien. Auch im Norden gestaltet sich das Online-Marktvolumen noch relativ dezent. Wenig überraschend erscheint das Ergebnis Südosteuropas, in</w:t>
      </w:r>
      <w:r w:rsidRPr="00F12E50">
        <w:rPr>
          <w:rFonts w:ascii="Arial" w:hAnsi="Arial" w:cs="Arial"/>
          <w:sz w:val="20"/>
          <w:szCs w:val="20"/>
        </w:rPr>
        <w:t>s</w:t>
      </w:r>
      <w:r w:rsidRPr="00F12E50">
        <w:rPr>
          <w:rFonts w:ascii="Arial" w:hAnsi="Arial" w:cs="Arial"/>
          <w:sz w:val="20"/>
          <w:szCs w:val="20"/>
        </w:rPr>
        <w:t xml:space="preserve">besondere am Balkan, das jeweils ein Marktvolumen von unter 1 Mrd. € pro </w:t>
      </w:r>
      <w:r>
        <w:rPr>
          <w:rFonts w:ascii="Arial" w:hAnsi="Arial" w:cs="Arial"/>
          <w:sz w:val="20"/>
          <w:szCs w:val="20"/>
        </w:rPr>
        <w:t>Jahr aufweist.</w:t>
      </w:r>
    </w:p>
    <w:p w:rsid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 xml:space="preserve">Die privaten Konsumausgaben wandern in bestimmten Teilen des Balkans sowie in der Ukraine und Weißrussland überwiegend in den stationären Handel, weshalb hier das europäische Schlusslicht in puncto Onlinehandel gebildet wird. </w:t>
      </w:r>
    </w:p>
    <w:p w:rsidR="00F12E50" w:rsidRP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Der Spitzenreiter Europas, mit einem guten Drittel Onlineanteil an den Konsumausgaben, ist nach wie vor Großbritannien, dicht gefolgt von Nord-und Zentraleuropa mit circa 16 bis 20 %. In Russland, der Türkei, den baltischen Staaten sowie in nördlicheren Teilen des Balkans fließen bis zu 7 % der priv</w:t>
      </w:r>
      <w:r w:rsidRPr="00F12E50">
        <w:rPr>
          <w:rFonts w:ascii="Arial" w:hAnsi="Arial" w:cs="Arial"/>
          <w:sz w:val="20"/>
          <w:szCs w:val="20"/>
        </w:rPr>
        <w:t>a</w:t>
      </w:r>
      <w:r w:rsidRPr="00F12E50">
        <w:rPr>
          <w:rFonts w:ascii="Arial" w:hAnsi="Arial" w:cs="Arial"/>
          <w:sz w:val="20"/>
          <w:szCs w:val="20"/>
        </w:rPr>
        <w:t xml:space="preserve">ten Ausgaben ins Internet. </w:t>
      </w:r>
    </w:p>
    <w:p w:rsidR="00F12E50" w:rsidRPr="00F12E50" w:rsidRDefault="00F12E50" w:rsidP="00F12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2E50">
        <w:rPr>
          <w:rFonts w:ascii="Arial" w:hAnsi="Arial" w:cs="Arial"/>
          <w:sz w:val="20"/>
          <w:szCs w:val="20"/>
        </w:rPr>
        <w:t>Resümierend ballt sich das Marktvolumen des Onlinehandels vor allem in westlichen und mitteleur</w:t>
      </w:r>
      <w:r w:rsidRPr="00F12E50">
        <w:rPr>
          <w:rFonts w:ascii="Arial" w:hAnsi="Arial" w:cs="Arial"/>
          <w:sz w:val="20"/>
          <w:szCs w:val="20"/>
        </w:rPr>
        <w:t>o</w:t>
      </w:r>
      <w:r w:rsidRPr="00F12E50">
        <w:rPr>
          <w:rFonts w:ascii="Arial" w:hAnsi="Arial" w:cs="Arial"/>
          <w:sz w:val="20"/>
          <w:szCs w:val="20"/>
        </w:rPr>
        <w:t>päischen Gebieten zusammen. Dennoch - mit einem 40%i</w:t>
      </w:r>
      <w:bookmarkStart w:id="0" w:name="_GoBack"/>
      <w:bookmarkEnd w:id="0"/>
      <w:r w:rsidRPr="00F12E50">
        <w:rPr>
          <w:rFonts w:ascii="Arial" w:hAnsi="Arial" w:cs="Arial"/>
          <w:sz w:val="20"/>
          <w:szCs w:val="20"/>
        </w:rPr>
        <w:t xml:space="preserve">gen Onlineanteil an den Konsumausgaben in China hat Europa - manche Länder mehr als andere - noch Aufholbedarf. </w:t>
      </w:r>
    </w:p>
    <w:p w:rsidR="00EA6CF1" w:rsidRDefault="00EA6CF1"/>
    <w:p w:rsidR="00F12E50" w:rsidRDefault="00F12E50"/>
    <w:p w:rsidR="00F12E50" w:rsidRPr="006B0B6D" w:rsidRDefault="00F12E50" w:rsidP="00D8733A">
      <w:pPr>
        <w:rPr>
          <w:i/>
          <w:lang w:val="de-DE"/>
        </w:rPr>
      </w:pPr>
    </w:p>
    <w:p w:rsidR="00F12E50" w:rsidRPr="006B0B6D" w:rsidRDefault="00F12E50" w:rsidP="00D8733A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proofErr w:type="spellStart"/>
      <w:r w:rsidRPr="006B0B6D">
        <w:rPr>
          <w:rFonts w:ascii="Arial" w:hAnsi="Arial" w:cs="Arial"/>
          <w:b/>
          <w:i/>
          <w:sz w:val="20"/>
          <w:szCs w:val="20"/>
        </w:rPr>
        <w:t>RegioData</w:t>
      </w:r>
      <w:proofErr w:type="spellEnd"/>
      <w:r w:rsidRPr="006B0B6D">
        <w:rPr>
          <w:rFonts w:ascii="Arial" w:hAnsi="Arial" w:cs="Arial"/>
          <w:b/>
          <w:i/>
          <w:sz w:val="20"/>
          <w:szCs w:val="20"/>
        </w:rPr>
        <w:t xml:space="preserve"> Research GmbH</w:t>
      </w:r>
    </w:p>
    <w:p w:rsidR="00F12E50" w:rsidRPr="006B0B6D" w:rsidRDefault="00F12E50" w:rsidP="00D8733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F12E50" w:rsidRDefault="00F12E50"/>
    <w:sectPr w:rsidR="00F12E50" w:rsidSect="00F12E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50" w:rsidRDefault="00F12E50" w:rsidP="00F12E50">
      <w:pPr>
        <w:spacing w:after="0" w:line="240" w:lineRule="auto"/>
      </w:pPr>
      <w:r>
        <w:separator/>
      </w:r>
    </w:p>
  </w:endnote>
  <w:endnote w:type="continuationSeparator" w:id="0">
    <w:p w:rsidR="00F12E50" w:rsidRDefault="00F12E50" w:rsidP="00F1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Fuzeile"/>
      <w:rPr>
        <w:rFonts w:ascii="Arial" w:hAnsi="Arial" w:cs="Arial"/>
        <w:sz w:val="20"/>
        <w:szCs w:val="20"/>
      </w:rPr>
    </w:pPr>
  </w:p>
  <w:p w:rsidR="00F12E50" w:rsidRPr="006B0B6D" w:rsidRDefault="00F12E50" w:rsidP="00F12E50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Pr="006B0B6D">
      <w:rPr>
        <w:rFonts w:ascii="Arial" w:hAnsi="Arial" w:cs="Arial"/>
        <w:color w:val="7F7F7F" w:themeColor="text1" w:themeTint="80"/>
        <w:sz w:val="20"/>
        <w:szCs w:val="20"/>
      </w:rPr>
      <w:tab/>
    </w:r>
    <w:r>
      <w:rPr>
        <w:rFonts w:ascii="Arial" w:hAnsi="Arial" w:cs="Arial"/>
        <w:color w:val="7F7F7F" w:themeColor="text1" w:themeTint="80"/>
        <w:sz w:val="20"/>
        <w:szCs w:val="20"/>
      </w:rPr>
      <w:t>2</w:t>
    </w:r>
  </w:p>
  <w:p w:rsidR="00F12E50" w:rsidRDefault="00F12E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Fuzeile"/>
      <w:rPr>
        <w:rFonts w:ascii="Arial" w:hAnsi="Arial" w:cs="Arial"/>
        <w:sz w:val="20"/>
        <w:szCs w:val="20"/>
      </w:rPr>
    </w:pPr>
  </w:p>
  <w:p w:rsidR="00F12E50" w:rsidRPr="006B0B6D" w:rsidRDefault="00F12E50" w:rsidP="00F12E50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F12E50" w:rsidRDefault="00F12E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50" w:rsidRDefault="00F12E50" w:rsidP="00F12E50">
      <w:pPr>
        <w:spacing w:after="0" w:line="240" w:lineRule="auto"/>
      </w:pPr>
      <w:r>
        <w:separator/>
      </w:r>
    </w:p>
  </w:footnote>
  <w:footnote w:type="continuationSeparator" w:id="0">
    <w:p w:rsidR="00F12E50" w:rsidRDefault="00F12E50" w:rsidP="00F1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C36E1" wp14:editId="1CE1FFE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3E4B1" wp14:editId="6D09199D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E50" w:rsidRPr="006B0B6D" w:rsidRDefault="00F12E50" w:rsidP="00F12E50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F12E50" w:rsidRPr="006B0B6D" w:rsidRDefault="00F12E50" w:rsidP="00F12E50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1288889" wp14:editId="5B0AA3D8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E50" w:rsidRDefault="00F12E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50" w:rsidRDefault="00F12E50" w:rsidP="00F12E50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EFABC" wp14:editId="6975E46C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C8F32D" wp14:editId="3A25ED6C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E50" w:rsidRPr="006B0B6D" w:rsidRDefault="00F12E50" w:rsidP="00F12E50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F12E50" w:rsidRPr="006B0B6D" w:rsidRDefault="00F12E50" w:rsidP="00F12E50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5C122D9C" wp14:editId="406CB0A9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E50" w:rsidRDefault="00F12E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50"/>
    <w:rsid w:val="00D8733A"/>
    <w:rsid w:val="00EA6CF1"/>
    <w:rsid w:val="00F1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E50"/>
  </w:style>
  <w:style w:type="paragraph" w:styleId="Fuzeile">
    <w:name w:val="footer"/>
    <w:basedOn w:val="Standard"/>
    <w:link w:val="Fu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2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2E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E50"/>
  </w:style>
  <w:style w:type="paragraph" w:styleId="Fuzeile">
    <w:name w:val="footer"/>
    <w:basedOn w:val="Standard"/>
    <w:link w:val="FuzeileZchn"/>
    <w:uiPriority w:val="99"/>
    <w:unhideWhenUsed/>
    <w:rsid w:val="00F1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E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E5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2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2161</Characters>
  <Application>Microsoft Office Word</Application>
  <DocSecurity>0</DocSecurity>
  <Lines>18</Lines>
  <Paragraphs>4</Paragraphs>
  <ScaleCrop>false</ScaleCrop>
  <Company>HP Inc.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2</cp:revision>
  <dcterms:created xsi:type="dcterms:W3CDTF">2022-08-08T12:12:00Z</dcterms:created>
  <dcterms:modified xsi:type="dcterms:W3CDTF">2022-08-08T12:20:00Z</dcterms:modified>
</cp:coreProperties>
</file>